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w:t>
      </w:r>
      <w:r w:rsidR="00793846">
        <w:rPr>
          <w:rFonts w:ascii="Century Gothic" w:hAnsi="Century Gothic"/>
          <w:sz w:val="20"/>
        </w:rPr>
        <w:t>1</w:t>
      </w:r>
      <w:r w:rsidR="00CC1A5C">
        <w:rPr>
          <w:rFonts w:ascii="Century Gothic" w:hAnsi="Century Gothic"/>
          <w:sz w:val="20"/>
        </w:rPr>
        <w:t>5</w:t>
      </w:r>
      <w:r>
        <w:rPr>
          <w:rFonts w:ascii="Century Gothic" w:hAnsi="Century Gothic"/>
          <w:sz w:val="20"/>
        </w:rPr>
        <w:t xml:space="preserve"> </w:t>
      </w:r>
      <w:r w:rsidR="00793846">
        <w:rPr>
          <w:rFonts w:ascii="Century Gothic" w:hAnsi="Century Gothic"/>
          <w:sz w:val="20"/>
        </w:rPr>
        <w:t>maj</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793846" w:rsidP="003A5950">
      <w:pPr>
        <w:pStyle w:val="Nagwek"/>
        <w:tabs>
          <w:tab w:val="left" w:pos="708"/>
        </w:tabs>
        <w:spacing w:line="276" w:lineRule="auto"/>
        <w:rPr>
          <w:rFonts w:ascii="Century Gothic" w:hAnsi="Century Gothic"/>
          <w:sz w:val="20"/>
        </w:rPr>
      </w:pPr>
      <w:r>
        <w:rPr>
          <w:rFonts w:ascii="Century Gothic" w:hAnsi="Century Gothic"/>
          <w:sz w:val="20"/>
        </w:rPr>
        <w:t>Znak ARM/</w:t>
      </w:r>
      <w:r w:rsidR="00CC1A5C">
        <w:rPr>
          <w:rFonts w:ascii="Century Gothic" w:hAnsi="Century Gothic"/>
          <w:sz w:val="20"/>
        </w:rPr>
        <w:t>20</w:t>
      </w:r>
      <w:r w:rsidR="00473B58"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bookmarkStart w:id="0" w:name="_GoBack"/>
      <w:bookmarkEnd w:id="0"/>
    </w:p>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793846" w:rsidRPr="00B747D4" w:rsidRDefault="00473B58" w:rsidP="00793846">
      <w:pPr>
        <w:pStyle w:val="Tekstpodstawowy"/>
        <w:spacing w:line="276" w:lineRule="auto"/>
        <w:ind w:right="408"/>
        <w:jc w:val="center"/>
        <w:rPr>
          <w:rFonts w:ascii="Century Gothic" w:hAnsi="Century Gothic"/>
        </w:rPr>
      </w:pPr>
      <w:r w:rsidRPr="00B747D4">
        <w:rPr>
          <w:rFonts w:ascii="Century Gothic" w:hAnsi="Century Gothic"/>
        </w:rPr>
        <w:t xml:space="preserve"> „</w:t>
      </w:r>
      <w:r w:rsidR="00793846">
        <w:rPr>
          <w:rFonts w:ascii="Century Gothic" w:hAnsi="Century Gothic"/>
        </w:rPr>
        <w:t>Wyposażenie pracowni fryzjerskiej</w:t>
      </w:r>
      <w:r w:rsidR="008F7BC7">
        <w:rPr>
          <w:rFonts w:ascii="Century Gothic" w:hAnsi="Century Gothic"/>
        </w:rPr>
        <w:t xml:space="preserve"> w Otwocku</w:t>
      </w:r>
      <w:r w:rsidR="00793846"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 xml:space="preserve">do </w:t>
      </w:r>
      <w:r w:rsidRPr="0045393C">
        <w:rPr>
          <w:rFonts w:ascii="Century Gothic" w:hAnsi="Century Gothic"/>
        </w:rPr>
        <w:t xml:space="preserve">pracowni </w:t>
      </w:r>
      <w:r w:rsidR="00793846">
        <w:rPr>
          <w:rFonts w:ascii="Century Gothic" w:hAnsi="Century Gothic"/>
        </w:rPr>
        <w:t xml:space="preserve">fryzjerskiej dla </w:t>
      </w:r>
      <w:r>
        <w:rPr>
          <w:rFonts w:ascii="Century Gothic" w:hAnsi="Century Gothic"/>
        </w:rPr>
        <w:t xml:space="preserve">Zespołu Szkół </w:t>
      </w:r>
      <w:r w:rsidR="00793846">
        <w:rPr>
          <w:rFonts w:ascii="Century Gothic" w:hAnsi="Century Gothic"/>
        </w:rPr>
        <w:t xml:space="preserve">nr 2 </w:t>
      </w:r>
      <w:r w:rsidR="00793846" w:rsidRPr="00793846">
        <w:rPr>
          <w:rFonts w:ascii="Century Gothic" w:hAnsi="Century Gothic"/>
        </w:rPr>
        <w:t>im. Marii Skłodowskiej-Curie w Otwocku</w:t>
      </w:r>
      <w:r w:rsidR="00793846">
        <w:rPr>
          <w:rFonts w:ascii="Century Gothic" w:hAnsi="Century Gothic"/>
        </w:rPr>
        <w:t xml:space="preserve">, </w:t>
      </w:r>
      <w:r w:rsidR="00793846" w:rsidRPr="00793846">
        <w:rPr>
          <w:rFonts w:ascii="Century Gothic" w:hAnsi="Century Gothic"/>
        </w:rPr>
        <w:t>ul. Pułaskiego 7 05 – 400 Otwock</w:t>
      </w:r>
      <w:r w:rsidRPr="00940179">
        <w:rPr>
          <w:rFonts w:ascii="Century Gothic" w:hAnsi="Century Gothic"/>
        </w:rPr>
        <w:t xml:space="preserve"> </w:t>
      </w:r>
      <w:r>
        <w:rPr>
          <w:rFonts w:ascii="Century Gothic" w:hAnsi="Century Gothic"/>
        </w:rPr>
        <w:t>w zakresie szcz</w:t>
      </w:r>
      <w:r w:rsidR="00793846">
        <w:rPr>
          <w:rFonts w:ascii="Century Gothic" w:hAnsi="Century Gothic"/>
        </w:rPr>
        <w:t>egółowo opisanym w załączniku 1</w:t>
      </w:r>
      <w:r>
        <w:rPr>
          <w:rFonts w:ascii="Century Gothic" w:hAnsi="Century Gothic"/>
        </w:rPr>
        <w:t xml:space="preserve"> do niniejszej SIWZ.</w:t>
      </w:r>
    </w:p>
    <w:p w:rsidR="00473B58" w:rsidRDefault="00473B58" w:rsidP="00F0501E">
      <w:pPr>
        <w:pStyle w:val="Tekstpodstawowy"/>
        <w:ind w:right="408"/>
        <w:jc w:val="both"/>
        <w:rPr>
          <w:rFonts w:ascii="Century Gothic" w:hAnsi="Century Gothic"/>
        </w:rPr>
      </w:pPr>
      <w:r>
        <w:rPr>
          <w:rFonts w:ascii="Century Gothic" w:hAnsi="Century Gothic"/>
        </w:rPr>
        <w:lastRenderedPageBreak/>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Opisem Szczegółowym wymagania wspólne dotyczące przedmiotu zamówienia określa załącznik nr 9 do SIWZ. </w:t>
      </w:r>
    </w:p>
    <w:p w:rsidR="00473B58" w:rsidRDefault="00473B58" w:rsidP="00795B74">
      <w:pPr>
        <w:pStyle w:val="Tekstpodstawowy"/>
        <w:ind w:right="408"/>
        <w:jc w:val="both"/>
        <w:rPr>
          <w:rFonts w:ascii="Century Gothic" w:hAnsi="Century Gothic"/>
        </w:rPr>
      </w:pPr>
      <w:r>
        <w:rPr>
          <w:rFonts w:ascii="Century Gothic" w:hAnsi="Century Gothic"/>
        </w:rPr>
        <w:t>3</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A17CF0" w:rsidRDefault="00A17CF0" w:rsidP="00A17CF0">
      <w:pPr>
        <w:pStyle w:val="Tekstpodstawowy"/>
        <w:ind w:right="408"/>
        <w:jc w:val="both"/>
        <w:rPr>
          <w:rFonts w:ascii="Century Gothic" w:hAnsi="Century Gothic"/>
        </w:rPr>
      </w:pPr>
      <w:r>
        <w:rPr>
          <w:rFonts w:ascii="Century Gothic" w:hAnsi="Century Gothic"/>
        </w:rPr>
        <w:t xml:space="preserve">5 </w:t>
      </w:r>
      <w:r w:rsidRPr="00795B74">
        <w:rPr>
          <w:rFonts w:ascii="Century Gothic" w:hAnsi="Century Gothic"/>
        </w:rPr>
        <w:t xml:space="preserve">Oferowany sprzęt musi posiadać oznakowanie CE </w:t>
      </w:r>
      <w:r>
        <w:rPr>
          <w:rFonts w:ascii="Century Gothic" w:hAnsi="Century Gothic"/>
        </w:rPr>
        <w:t>(o ile stosowne przepisy przewidują dla danego sprzętu taki obowiązek).</w:t>
      </w:r>
    </w:p>
    <w:p w:rsidR="00473B58" w:rsidRDefault="00473B58" w:rsidP="00795B74">
      <w:pPr>
        <w:pStyle w:val="Tekstpodstawowy"/>
        <w:ind w:right="408"/>
        <w:jc w:val="both"/>
        <w:rPr>
          <w:rFonts w:ascii="Century Gothic" w:hAnsi="Century Gothic"/>
        </w:rPr>
      </w:pPr>
    </w:p>
    <w:p w:rsidR="00473B58" w:rsidRPr="00B747D4" w:rsidRDefault="00A17CF0"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6</w:t>
      </w:r>
      <w:r w:rsidR="00473B58" w:rsidRPr="00B747D4">
        <w:rPr>
          <w:rFonts w:ascii="Century Gothic" w:hAnsi="Century Gothic"/>
        </w:rPr>
        <w:t>. Przedmiot zamówienia wg kodów Wspólnego Słownika Zamówień (CPV).</w:t>
      </w:r>
    </w:p>
    <w:p w:rsidR="00473B58" w:rsidRDefault="00793846"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39712200-8 Urządzenia fryzjerskiej </w:t>
      </w:r>
    </w:p>
    <w:p w:rsidR="00793846" w:rsidRDefault="00793846"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39712210-1 Suszarki do włosów </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 xml:space="preserve">a jeżeli okres prowadzenia działalności jest krótszy - w tym okresie, </w:t>
      </w:r>
      <w:r w:rsidRPr="005034E4">
        <w:rPr>
          <w:rFonts w:ascii="Century Gothic" w:hAnsi="Century Gothic"/>
          <w:bCs/>
          <w:sz w:val="20"/>
        </w:rPr>
        <w:t xml:space="preserve">wykonali należycie  co najmniej dwie dostawy sprzętu </w:t>
      </w:r>
      <w:r w:rsidR="00793846">
        <w:rPr>
          <w:rFonts w:ascii="Century Gothic" w:hAnsi="Century Gothic"/>
          <w:bCs/>
          <w:sz w:val="20"/>
        </w:rPr>
        <w:t>fryzjerskiego</w:t>
      </w:r>
      <w:r w:rsidRPr="005034E4">
        <w:rPr>
          <w:rFonts w:ascii="Century Gothic" w:hAnsi="Century Gothic"/>
          <w:bCs/>
          <w:sz w:val="20"/>
        </w:rPr>
        <w:t xml:space="preserve"> o wartości nie </w:t>
      </w:r>
      <w:r w:rsidR="00793846">
        <w:rPr>
          <w:rFonts w:ascii="Century Gothic" w:hAnsi="Century Gothic"/>
          <w:bCs/>
          <w:sz w:val="20"/>
        </w:rPr>
        <w:t>mniejszej niż 1</w:t>
      </w:r>
      <w:r w:rsidRPr="005034E4">
        <w:rPr>
          <w:rFonts w:ascii="Century Gothic" w:hAnsi="Century Gothic"/>
          <w:bCs/>
          <w:sz w:val="20"/>
        </w:rPr>
        <w:t>0 000 zł (</w:t>
      </w:r>
      <w:r w:rsidR="00793846">
        <w:rPr>
          <w:rFonts w:ascii="Century Gothic" w:hAnsi="Century Gothic"/>
          <w:bCs/>
          <w:sz w:val="20"/>
        </w:rPr>
        <w:t>dziesięć</w:t>
      </w:r>
      <w:r w:rsidRPr="005034E4">
        <w:rPr>
          <w:rFonts w:ascii="Century Gothic" w:hAnsi="Century Gothic"/>
          <w:bCs/>
          <w:sz w:val="20"/>
        </w:rPr>
        <w:t xml:space="preserve"> tysięcy złotych)</w:t>
      </w:r>
      <w:r>
        <w:rPr>
          <w:rFonts w:ascii="Century Gothic" w:hAnsi="Century Gothic"/>
          <w:sz w:val="20"/>
        </w:rPr>
        <w:t xml:space="preserve"> brutto każd</w:t>
      </w:r>
      <w:smartTag w:uri="urn:schemas-microsoft-com:office:smarttags" w:element="PersonName">
        <w:r>
          <w:rPr>
            <w:rFonts w:ascii="Century Gothic" w:hAnsi="Century Gothic"/>
            <w:sz w:val="20"/>
          </w:rPr>
          <w:t>a.</w:t>
        </w:r>
      </w:smartTag>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w:t>
      </w:r>
      <w:r w:rsidR="00793846">
        <w:rPr>
          <w:rFonts w:ascii="Century Gothic" w:hAnsi="Century Gothic"/>
          <w:bCs/>
          <w:sz w:val="20"/>
          <w:szCs w:val="24"/>
        </w:rPr>
        <w:t>1</w:t>
      </w:r>
      <w:r>
        <w:rPr>
          <w:rFonts w:ascii="Century Gothic" w:hAnsi="Century Gothic"/>
          <w:bCs/>
          <w:sz w:val="20"/>
          <w:szCs w:val="24"/>
        </w:rPr>
        <w:t xml:space="preserve">0 000 zł </w:t>
      </w:r>
      <w:r w:rsidRPr="005A3E58">
        <w:rPr>
          <w:rFonts w:ascii="Century Gothic" w:hAnsi="Century Gothic"/>
          <w:bCs/>
          <w:sz w:val="20"/>
          <w:szCs w:val="24"/>
        </w:rPr>
        <w:t>(</w:t>
      </w:r>
      <w:r w:rsidR="00793846">
        <w:rPr>
          <w:rFonts w:ascii="Century Gothic" w:hAnsi="Century Gothic"/>
          <w:bCs/>
          <w:sz w:val="20"/>
          <w:szCs w:val="24"/>
        </w:rPr>
        <w:t>dziesięć</w:t>
      </w:r>
      <w:r w:rsidRPr="005A3E58">
        <w:rPr>
          <w:rFonts w:ascii="Century Gothic" w:hAnsi="Century Gothic"/>
          <w:bCs/>
          <w:sz w:val="20"/>
          <w:szCs w:val="24"/>
        </w:rPr>
        <w:t xml:space="preserve"> tysięcy złotych)</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w:t>
      </w:r>
      <w:r w:rsidRPr="00B747D4">
        <w:rPr>
          <w:rFonts w:ascii="Century Gothic" w:hAnsi="Century Gothic"/>
          <w:bCs/>
          <w:sz w:val="20"/>
        </w:rPr>
        <w:lastRenderedPageBreak/>
        <w:t xml:space="preserve">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smartTag w:uri="urn:schemas-microsoft-com:office:smarttags" w:element="PersonName">
        <w:r>
          <w:rPr>
            <w:rFonts w:ascii="Century Gothic" w:hAnsi="Century Gothic"/>
          </w:rPr>
          <w:t>a.</w:t>
        </w:r>
      </w:smartTag>
      <w:r w:rsidR="00786D47">
        <w:rPr>
          <w:rFonts w:ascii="Century Gothic" w:hAnsi="Century Gothic"/>
        </w:rPr>
        <w:t>niedzielsk</w:t>
      </w:r>
      <w:r>
        <w:rPr>
          <w:rFonts w:ascii="Century Gothic" w:hAnsi="Century Gothic"/>
        </w:rPr>
        <w:t>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8F7BC7">
        <w:rPr>
          <w:rFonts w:ascii="Century Gothic" w:hAnsi="Century Gothic"/>
        </w:rPr>
        <w:t>Anna Niedzielska</w:t>
      </w:r>
      <w:r>
        <w:rPr>
          <w:rFonts w:ascii="Century Gothic" w:hAnsi="Century Gothic"/>
        </w:rPr>
        <w:t xml:space="preserve"> </w:t>
      </w:r>
      <w:r w:rsidRPr="00B747D4">
        <w:rPr>
          <w:rFonts w:ascii="Century Gothic" w:hAnsi="Century Gothic"/>
        </w:rPr>
        <w:t xml:space="preserve">(e-mail: </w:t>
      </w:r>
      <w:r>
        <w:rPr>
          <w:rFonts w:ascii="Century Gothic" w:hAnsi="Century Gothic"/>
        </w:rPr>
        <w:t>a.</w:t>
      </w:r>
      <w:r w:rsidR="008F7BC7">
        <w:rPr>
          <w:rFonts w:ascii="Century Gothic" w:hAnsi="Century Gothic"/>
        </w:rPr>
        <w:t>niedzielska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473B58" w:rsidRPr="004C0297" w:rsidRDefault="00473B58" w:rsidP="004C0297">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sidR="008F7BC7">
        <w:rPr>
          <w:rFonts w:ascii="Century Gothic" w:hAnsi="Century Gothic"/>
        </w:rPr>
        <w:t>500</w:t>
      </w:r>
      <w:r>
        <w:rPr>
          <w:rFonts w:ascii="Century Gothic" w:hAnsi="Century Gothic"/>
        </w:rPr>
        <w:t xml:space="preserve"> zł (</w:t>
      </w:r>
      <w:r w:rsidR="008F7BC7">
        <w:rPr>
          <w:rFonts w:ascii="Century Gothic" w:hAnsi="Century Gothic"/>
        </w:rPr>
        <w:t>pięćset</w:t>
      </w:r>
      <w:r>
        <w:rPr>
          <w:rFonts w:ascii="Century Gothic" w:hAnsi="Century Gothic"/>
        </w:rPr>
        <w:t xml:space="preserve">   złotych).</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473B58" w:rsidRPr="00B747D4" w:rsidRDefault="00473B58"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w:t>
      </w:r>
      <w:smartTag w:uri="urn:schemas-microsoft-com:office:smarttags" w:element="PersonName">
        <w:r w:rsidRPr="00B747D4">
          <w:rPr>
            <w:rFonts w:ascii="Century Gothic" w:hAnsi="Century Gothic"/>
          </w:rPr>
          <w:t>r.</w:t>
        </w:r>
      </w:smartTag>
      <w:r w:rsidRPr="00B747D4">
        <w:rPr>
          <w:rFonts w:ascii="Century Gothic" w:hAnsi="Century Gothic"/>
        </w:rPr>
        <w:t xml:space="preserve"> o utworzeniu Polskiej Agencji Rozwoju Przedsiębiorczości (Dz.U. z 2007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42, poz. 275, z 2008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116, poz. 730 i 732 i Nr 227, poz. 1505 oraz z 2010 </w:t>
      </w:r>
      <w:smartTag w:uri="urn:schemas-microsoft-com:office:smarttags" w:element="PersonName">
        <w:r w:rsidRPr="00B747D4">
          <w:rPr>
            <w:rFonts w:ascii="Century Gothic" w:hAnsi="Century Gothic"/>
          </w:rPr>
          <w:t>r.</w:t>
        </w:r>
      </w:smartTag>
      <w:r w:rsidRPr="00B747D4">
        <w:rPr>
          <w:rFonts w:ascii="Century Gothic" w:hAnsi="Century Gothic"/>
        </w:rPr>
        <w:t xml:space="preserve"> Nr 96, poz. 620).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żąda ponownego wniesienia wadium przez wykonawcę, któremu zwrócono wadium na podstawie pkt. 6, jeżeli w wyniku rozstrzygnięcia odwołania jego oferta została wybrana, jako najkorzystniejsz</w:t>
      </w:r>
      <w:smartTag w:uri="urn:schemas-microsoft-com:office:smarttags" w:element="PersonName">
        <w:r w:rsidRPr="00B747D4">
          <w:rPr>
            <w:rFonts w:ascii="Century Gothic" w:hAnsi="Century Gothic"/>
          </w:rPr>
          <w:t>a.</w:t>
        </w:r>
      </w:smartTag>
      <w:r w:rsidRPr="00B747D4">
        <w:rPr>
          <w:rFonts w:ascii="Century Gothic" w:hAnsi="Century Gothic"/>
        </w:rPr>
        <w:t xml:space="preserve"> Wykonawca wnosi wadium w terminie określonym przez Zamawiającego.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473B58" w:rsidRPr="00B747D4" w:rsidRDefault="00473B58"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473B58" w:rsidRPr="00B747D4" w:rsidRDefault="00473B58"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Wykonawcy zobowiązani są do złożenia wraz z ofertą dokumentu potwierdzającego wniesienie wadium obejmującego cały okres związania ofert</w:t>
      </w:r>
      <w:smartTag w:uri="urn:schemas-microsoft-com:office:smarttags" w:element="PersonName">
        <w:r w:rsidRPr="00B747D4">
          <w:rPr>
            <w:rFonts w:ascii="Century Gothic" w:hAnsi="Century Gothic"/>
          </w:rPr>
          <w:t>a.</w:t>
        </w:r>
      </w:smartTag>
      <w:r w:rsidRPr="00B747D4">
        <w:rPr>
          <w:rFonts w:ascii="Century Gothic" w:hAnsi="Century Gothic"/>
        </w:rPr>
        <w:t xml:space="preserve"> W przypadku wniesienia wadium w formie innej niż pieniądz Zamawiający zaleca złożenie oryginału dokumentu wadialnego w oddzielnej kopercie.  </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t>
      </w:r>
      <w:r w:rsidRPr="005034E4">
        <w:rPr>
          <w:rFonts w:ascii="Century Gothic" w:hAnsi="Century Gothic"/>
          <w:b/>
          <w:sz w:val="20"/>
        </w:rPr>
        <w:t xml:space="preserve">pracowni </w:t>
      </w:r>
      <w:r w:rsidR="008F7BC7">
        <w:rPr>
          <w:rFonts w:ascii="Century Gothic" w:hAnsi="Century Gothic"/>
          <w:b/>
          <w:sz w:val="20"/>
        </w:rPr>
        <w:t>fryzjerskiej w Otwocku</w:t>
      </w:r>
      <w:r>
        <w:rPr>
          <w:rFonts w:ascii="Century Gothic" w:hAnsi="Century Gothic"/>
          <w:b/>
          <w:sz w:val="20"/>
        </w:rPr>
        <w:t>”</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nie otwierać przed dniem</w:t>
      </w:r>
      <w:r w:rsidR="008F7BC7">
        <w:rPr>
          <w:rFonts w:ascii="Century Gothic" w:hAnsi="Century Gothic"/>
          <w:sz w:val="20"/>
        </w:rPr>
        <w:t xml:space="preserve"> 25</w:t>
      </w:r>
      <w:r>
        <w:rPr>
          <w:rFonts w:ascii="Century Gothic" w:hAnsi="Century Gothic"/>
          <w:sz w:val="20"/>
        </w:rPr>
        <w:t xml:space="preserve"> </w:t>
      </w:r>
      <w:r w:rsidR="008F7BC7">
        <w:rPr>
          <w:rFonts w:ascii="Century Gothic" w:hAnsi="Century Gothic"/>
          <w:sz w:val="20"/>
        </w:rPr>
        <w:t>maj</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Pr>
          <w:rFonts w:ascii="Century Gothic" w:hAnsi="Century Gothic"/>
          <w:sz w:val="20"/>
        </w:rPr>
        <w:t xml:space="preserve"> do godz. 09.15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sidR="008F7BC7">
        <w:rPr>
          <w:rFonts w:ascii="Century Gothic" w:hAnsi="Century Gothic"/>
          <w:sz w:val="20"/>
          <w:szCs w:val="24"/>
        </w:rPr>
        <w:t>Świętojerska 9, 00-2</w:t>
      </w:r>
      <w:r>
        <w:rPr>
          <w:rFonts w:ascii="Century Gothic" w:hAnsi="Century Gothic"/>
          <w:sz w:val="20"/>
          <w:szCs w:val="24"/>
        </w:rPr>
        <w:t>3</w:t>
      </w:r>
      <w:r w:rsidR="008F7BC7">
        <w:rPr>
          <w:rFonts w:ascii="Century Gothic" w:hAnsi="Century Gothic"/>
          <w:sz w:val="20"/>
          <w:szCs w:val="24"/>
        </w:rPr>
        <w:t>6</w:t>
      </w:r>
      <w:r w:rsidRPr="00B747D4">
        <w:rPr>
          <w:rFonts w:ascii="Century Gothic" w:hAnsi="Century Gothic"/>
          <w:sz w:val="20"/>
          <w:szCs w:val="24"/>
        </w:rPr>
        <w:t xml:space="preserve"> Warszawa</w:t>
      </w:r>
      <w:r w:rsidR="008F7BC7">
        <w:rPr>
          <w:rFonts w:ascii="Century Gothic" w:hAnsi="Century Gothic"/>
          <w:b/>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8F7BC7">
        <w:rPr>
          <w:rFonts w:ascii="Century Gothic" w:hAnsi="Century Gothic"/>
          <w:sz w:val="20"/>
          <w:szCs w:val="24"/>
        </w:rPr>
        <w:t>25 maja</w:t>
      </w:r>
      <w:r>
        <w:rPr>
          <w:rFonts w:ascii="Century Gothic" w:hAnsi="Century Gothic"/>
          <w:sz w:val="20"/>
          <w:szCs w:val="24"/>
        </w:rPr>
        <w:t xml:space="preserve">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8F7BC7">
        <w:rPr>
          <w:rFonts w:ascii="Century Gothic" w:hAnsi="Century Gothic"/>
          <w:sz w:val="20"/>
          <w:szCs w:val="24"/>
        </w:rPr>
        <w:t>25 maja</w:t>
      </w:r>
      <w:r>
        <w:rPr>
          <w:rFonts w:ascii="Century Gothic" w:hAnsi="Century Gothic"/>
          <w:sz w:val="20"/>
          <w:szCs w:val="24"/>
        </w:rPr>
        <w:t xml:space="preserve"> 2015 roku godz. 09.15</w:t>
      </w:r>
      <w:r w:rsidRPr="00B747D4">
        <w:rPr>
          <w:rFonts w:ascii="Century Gothic" w:hAnsi="Century Gothic"/>
          <w:sz w:val="20"/>
          <w:szCs w:val="24"/>
        </w:rPr>
        <w:t>, sala konferencyjna.</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Default="008F7BC7" w:rsidP="003A5950">
      <w:pPr>
        <w:pStyle w:val="Tekstpodstawowy21"/>
        <w:numPr>
          <w:ilvl w:val="1"/>
          <w:numId w:val="31"/>
        </w:numPr>
        <w:tabs>
          <w:tab w:val="left" w:pos="1953"/>
        </w:tabs>
        <w:spacing w:line="276" w:lineRule="auto"/>
        <w:jc w:val="both"/>
        <w:rPr>
          <w:rFonts w:ascii="Century Gothic" w:hAnsi="Century Gothic"/>
          <w:sz w:val="20"/>
          <w:szCs w:val="24"/>
        </w:rPr>
      </w:pPr>
      <w:r w:rsidRPr="008F7BC7">
        <w:rPr>
          <w:rFonts w:ascii="Century Gothic" w:hAnsi="Century Gothic"/>
          <w:sz w:val="20"/>
          <w:szCs w:val="24"/>
        </w:rPr>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 Zastrzeżenie jest skuteczne tylko w sytuacji gdy Wykonawca jednocześnie z ofertą wykaże, iż zastrzeżone informacje stanowią tajemnicę jego przedsiębiorstwa.</w:t>
      </w:r>
    </w:p>
    <w:p w:rsidR="008F7BC7" w:rsidRPr="008F7BC7" w:rsidRDefault="008F7BC7" w:rsidP="008F7BC7">
      <w:pPr>
        <w:pStyle w:val="Tekstpodstawowy21"/>
        <w:tabs>
          <w:tab w:val="left" w:pos="1953"/>
        </w:tabs>
        <w:spacing w:line="276" w:lineRule="auto"/>
        <w:ind w:left="480"/>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Podana w ofercie cena musi uwzględniać wszystkie wymagania Zamawiającego określone w SIWZ oraz zawierać wszelkie koszty, jakie poniesie Wykonawca z tytułu należytej, zgodnej z wymaganiami Zamawiającego realizacji przedmiotu 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Cena oferty podana w formularzu ofertowym musi być zgodna z ceną podaną w </w:t>
      </w:r>
      <w:r>
        <w:rPr>
          <w:rFonts w:ascii="Century Gothic" w:hAnsi="Century Gothic"/>
          <w:sz w:val="20"/>
          <w:szCs w:val="24"/>
        </w:rPr>
        <w:t>formularzu cenowym stanowiącym załącznik 10 do SIWZ.</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w:t>
      </w:r>
      <w:r>
        <w:rPr>
          <w:rFonts w:ascii="Century Gothic" w:hAnsi="Century Gothic"/>
          <w:sz w:val="20"/>
          <w:szCs w:val="24"/>
        </w:rPr>
        <w:t>formularzu cenowym</w:t>
      </w:r>
      <w:r w:rsidRPr="00B747D4">
        <w:rPr>
          <w:rFonts w:ascii="Century Gothic" w:hAnsi="Century Gothic"/>
          <w:sz w:val="20"/>
          <w:szCs w:val="24"/>
        </w:rPr>
        <w:t xml:space="preserve"> należy uwzględnić w obecnych pozycjach tabeli, bez zmiany ich opisu.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473B58" w:rsidRPr="00B747D4" w:rsidRDefault="00473B58"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w:t>
      </w:r>
      <w:smartTag w:uri="urn:schemas-microsoft-com:office:smarttags" w:element="PersonName">
        <w:r w:rsidRPr="00B747D4">
          <w:rPr>
            <w:rFonts w:ascii="Century Gothic" w:hAnsi="Century Gothic"/>
          </w:rPr>
          <w:t>r.</w:t>
        </w:r>
      </w:smartTag>
      <w:r w:rsidRPr="00B747D4">
        <w:rPr>
          <w:rFonts w:ascii="Century Gothic" w:hAnsi="Century Gothic"/>
        </w:rPr>
        <w:t xml:space="preserve"> o utworzeniu Polskiej Agencji Rozwoju Przedsiębiorczości (Dz. U. z 2000 </w:t>
      </w:r>
      <w:smartTag w:uri="urn:schemas-microsoft-com:office:smarttags" w:element="PersonName">
        <w:r w:rsidRPr="00B747D4">
          <w:rPr>
            <w:rFonts w:ascii="Century Gothic" w:hAnsi="Century Gothic"/>
          </w:rPr>
          <w:t>r.</w:t>
        </w:r>
      </w:smartTag>
      <w:r w:rsidRPr="00B747D4">
        <w:rPr>
          <w:rFonts w:ascii="Century Gothic" w:hAnsi="Century Gothic"/>
        </w:rPr>
        <w:t>, nr 109, poz. 1158 z późn. zm.).</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w:t>
      </w:r>
      <w:smartTag w:uri="urn:schemas-microsoft-com:office:smarttags" w:element="PersonName">
        <w:r>
          <w:rPr>
            <w:rFonts w:ascii="Century Gothic" w:hAnsi="Century Gothic"/>
            <w:sz w:val="20"/>
            <w:szCs w:val="24"/>
          </w:rPr>
          <w:t>a.</w:t>
        </w:r>
      </w:smartTag>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0D3" w:rsidRDefault="001640D3" w:rsidP="005313B3">
      <w:pPr>
        <w:spacing w:after="0" w:line="240" w:lineRule="auto"/>
      </w:pPr>
      <w:r>
        <w:separator/>
      </w:r>
    </w:p>
  </w:endnote>
  <w:endnote w:type="continuationSeparator" w:id="0">
    <w:p w:rsidR="001640D3" w:rsidRDefault="001640D3"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444AD7">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444AD7">
                            <w:rPr>
                              <w:noProof/>
                              <w:color w:val="BFBFBF"/>
                              <w:sz w:val="18"/>
                              <w:szCs w:val="18"/>
                            </w:rPr>
                            <w:t>12</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444AD7">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444AD7">
                      <w:rPr>
                        <w:noProof/>
                        <w:color w:val="BFBFBF"/>
                        <w:sz w:val="18"/>
                        <w:szCs w:val="18"/>
                      </w:rPr>
                      <w:t>12</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0D3" w:rsidRDefault="001640D3" w:rsidP="005313B3">
      <w:pPr>
        <w:spacing w:after="0" w:line="240" w:lineRule="auto"/>
      </w:pPr>
      <w:r>
        <w:separator/>
      </w:r>
    </w:p>
  </w:footnote>
  <w:footnote w:type="continuationSeparator" w:id="0">
    <w:p w:rsidR="001640D3" w:rsidRDefault="001640D3"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444AD7">
                            <w:rPr>
                              <w:sz w:val="14"/>
                              <w:szCs w:val="14"/>
                            </w:rPr>
                            <w:t>236</w:t>
                          </w:r>
                          <w:r w:rsidRPr="005E0840">
                            <w:rPr>
                              <w:sz w:val="14"/>
                              <w:szCs w:val="14"/>
                            </w:rPr>
                            <w:t xml:space="preserve"> Warszawa, ul. </w:t>
                          </w:r>
                          <w:r w:rsidR="00444AD7">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444AD7">
                      <w:rPr>
                        <w:sz w:val="14"/>
                        <w:szCs w:val="14"/>
                      </w:rPr>
                      <w:t>236</w:t>
                    </w:r>
                    <w:r w:rsidRPr="005E0840">
                      <w:rPr>
                        <w:sz w:val="14"/>
                        <w:szCs w:val="14"/>
                      </w:rPr>
                      <w:t xml:space="preserve"> Warszawa, ul. </w:t>
                    </w:r>
                    <w:r w:rsidR="00444AD7">
                      <w:rPr>
                        <w:sz w:val="14"/>
                        <w:szCs w:val="14"/>
                        <w:lang w:val="de-DE"/>
                      </w:rPr>
                      <w:t>Świętojerska 9</w:t>
                    </w:r>
                    <w:r w:rsidRPr="00610787">
                      <w:rPr>
                        <w:sz w:val="14"/>
                        <w:szCs w:val="14"/>
                        <w:lang w:val="de-DE"/>
                      </w:rPr>
                      <w:t>, tel. 022 566 47 75, fax. 0 22 843 83 31, e-mail: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40D3"/>
    <w:rsid w:val="001652E6"/>
    <w:rsid w:val="00167E54"/>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D04BC"/>
    <w:rsid w:val="003D6ABD"/>
    <w:rsid w:val="003E21B2"/>
    <w:rsid w:val="003F429C"/>
    <w:rsid w:val="003F6C6C"/>
    <w:rsid w:val="00406062"/>
    <w:rsid w:val="00411D18"/>
    <w:rsid w:val="00423289"/>
    <w:rsid w:val="00432D8D"/>
    <w:rsid w:val="00444AD7"/>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1D3A"/>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86D47"/>
    <w:rsid w:val="00793846"/>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549A"/>
    <w:rsid w:val="008E131B"/>
    <w:rsid w:val="008F47C8"/>
    <w:rsid w:val="008F7BC7"/>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17CF0"/>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093"/>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C1A5C"/>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6AD8"/>
    <w:rsid w:val="00F31F38"/>
    <w:rsid w:val="00F35766"/>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4013</Words>
  <Characters>24078</Characters>
  <Application>Microsoft Office Word</Application>
  <DocSecurity>4</DocSecurity>
  <Lines>200</Lines>
  <Paragraphs>56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28035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aniedzielska</cp:lastModifiedBy>
  <cp:revision>2</cp:revision>
  <cp:lastPrinted>2015-05-15T05:29:00Z</cp:lastPrinted>
  <dcterms:created xsi:type="dcterms:W3CDTF">2015-05-15T05:41:00Z</dcterms:created>
  <dcterms:modified xsi:type="dcterms:W3CDTF">2015-05-15T05:41:00Z</dcterms:modified>
</cp:coreProperties>
</file>