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58" w:rsidRPr="00B747D4" w:rsidRDefault="00473B58" w:rsidP="003A5950">
      <w:pPr>
        <w:pStyle w:val="Nagwek"/>
        <w:tabs>
          <w:tab w:val="left" w:pos="4155"/>
        </w:tabs>
        <w:snapToGrid w:val="0"/>
        <w:spacing w:line="276" w:lineRule="auto"/>
        <w:rPr>
          <w:rFonts w:ascii="Century Gothic" w:hAnsi="Century Gothic"/>
          <w:b/>
          <w:color w:val="008000"/>
          <w:spacing w:val="-24"/>
          <w:sz w:val="20"/>
        </w:rPr>
      </w:pPr>
    </w:p>
    <w:p w:rsidR="00473B58" w:rsidRPr="00B747D4" w:rsidRDefault="00473B58"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sidR="00B1217D">
        <w:rPr>
          <w:rFonts w:ascii="Century Gothic" w:hAnsi="Century Gothic"/>
          <w:sz w:val="20"/>
        </w:rPr>
        <w:t xml:space="preserve"> 29</w:t>
      </w:r>
      <w:r>
        <w:rPr>
          <w:rFonts w:ascii="Century Gothic" w:hAnsi="Century Gothic"/>
          <w:sz w:val="20"/>
        </w:rPr>
        <w:t xml:space="preserve"> </w:t>
      </w:r>
      <w:r w:rsidR="00B1217D">
        <w:rPr>
          <w:rFonts w:ascii="Century Gothic" w:hAnsi="Century Gothic"/>
          <w:sz w:val="20"/>
        </w:rPr>
        <w:t>maj</w:t>
      </w:r>
      <w:r>
        <w:rPr>
          <w:rFonts w:ascii="Century Gothic" w:hAnsi="Century Gothic"/>
          <w:sz w:val="20"/>
        </w:rPr>
        <w:t>a 2015</w:t>
      </w:r>
      <w:r w:rsidRPr="00B747D4">
        <w:rPr>
          <w:rFonts w:ascii="Century Gothic" w:hAnsi="Century Gothic"/>
          <w:sz w:val="20"/>
        </w:rPr>
        <w:t xml:space="preserve"> </w:t>
      </w:r>
      <w:smartTag w:uri="urn:schemas-microsoft-com:office:smarttags" w:element="PersonName">
        <w:r w:rsidRPr="00B747D4">
          <w:rPr>
            <w:rFonts w:ascii="Century Gothic" w:hAnsi="Century Gothic"/>
            <w:sz w:val="20"/>
          </w:rPr>
          <w:t>r.</w:t>
        </w:r>
      </w:smartTag>
    </w:p>
    <w:p w:rsidR="00473B58" w:rsidRPr="00B747D4" w:rsidRDefault="00B1217D" w:rsidP="003A5950">
      <w:pPr>
        <w:pStyle w:val="Nagwek"/>
        <w:tabs>
          <w:tab w:val="left" w:pos="708"/>
        </w:tabs>
        <w:spacing w:line="276" w:lineRule="auto"/>
        <w:rPr>
          <w:rFonts w:ascii="Century Gothic" w:hAnsi="Century Gothic"/>
          <w:sz w:val="20"/>
        </w:rPr>
      </w:pPr>
      <w:r>
        <w:rPr>
          <w:rFonts w:ascii="Century Gothic" w:hAnsi="Century Gothic"/>
          <w:sz w:val="20"/>
        </w:rPr>
        <w:t>Znak ARM/24</w:t>
      </w:r>
      <w:r w:rsidR="00473B58" w:rsidRPr="00EC0485">
        <w:rPr>
          <w:rFonts w:ascii="Century Gothic" w:hAnsi="Century Gothic"/>
          <w:sz w:val="20"/>
        </w:rPr>
        <w:t>/15</w:t>
      </w:r>
    </w:p>
    <w:p w:rsidR="00473B58" w:rsidRDefault="00473B58" w:rsidP="003A5950">
      <w:pPr>
        <w:pStyle w:val="Nagwek5"/>
        <w:widowControl w:val="0"/>
        <w:numPr>
          <w:ilvl w:val="4"/>
          <w:numId w:val="0"/>
        </w:numPr>
        <w:tabs>
          <w:tab w:val="num" w:pos="1008"/>
        </w:tabs>
        <w:ind w:left="1008" w:hanging="1008"/>
        <w:rPr>
          <w:rFonts w:ascii="Century Gothic" w:hAnsi="Century Gothic"/>
          <w:szCs w:val="24"/>
        </w:rPr>
      </w:pPr>
      <w:bookmarkStart w:id="0" w:name="_GoBack"/>
      <w:bookmarkEnd w:id="0"/>
    </w:p>
    <w:p w:rsidR="00473B58" w:rsidRPr="005660A1" w:rsidRDefault="00473B58" w:rsidP="005660A1"/>
    <w:p w:rsidR="00473B58" w:rsidRPr="00B747D4" w:rsidRDefault="00473B58"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473B58" w:rsidRDefault="00473B58" w:rsidP="003A5950">
      <w:pPr>
        <w:pStyle w:val="Tekstpodstawowy"/>
        <w:spacing w:line="276" w:lineRule="auto"/>
        <w:ind w:right="408"/>
        <w:jc w:val="center"/>
        <w:rPr>
          <w:rFonts w:ascii="Century Gothic" w:hAnsi="Century Gothic"/>
          <w:i/>
          <w:u w:val="single"/>
        </w:rPr>
      </w:pP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w:t>
      </w:r>
      <w:smartTag w:uri="urn:schemas-microsoft-com:office:smarttags" w:element="PersonName">
        <w:r w:rsidRPr="00B747D4">
          <w:rPr>
            <w:rFonts w:ascii="Century Gothic" w:hAnsi="Century Gothic"/>
          </w:rPr>
          <w:t>r.</w:t>
        </w:r>
      </w:smartTag>
      <w:r w:rsidRPr="00B747D4">
        <w:rPr>
          <w:rFonts w:ascii="Century Gothic" w:hAnsi="Century Gothic"/>
        </w:rPr>
        <w:t xml:space="preserve"> Prawo zamówień publicznych (tekst jednolity Dz. U. z 2013 </w:t>
      </w:r>
      <w:smartTag w:uri="urn:schemas-microsoft-com:office:smarttags" w:element="PersonName">
        <w:r w:rsidRPr="00B747D4">
          <w:rPr>
            <w:rFonts w:ascii="Century Gothic" w:hAnsi="Century Gothic"/>
          </w:rPr>
          <w:t>r.</w:t>
        </w:r>
      </w:smartTag>
      <w:r w:rsidRPr="00B747D4">
        <w:rPr>
          <w:rFonts w:ascii="Century Gothic" w:hAnsi="Century Gothic"/>
        </w:rPr>
        <w:t xml:space="preserve"> poz. 907, ze zmianami)</w:t>
      </w:r>
      <w:r w:rsidRPr="00B747D4">
        <w:rPr>
          <w:rFonts w:ascii="Century Gothic" w:hAnsi="Century Gothic"/>
        </w:rPr>
        <w:br/>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 xml:space="preserve">Wyposażenie </w:t>
      </w:r>
      <w:r w:rsidRPr="0045393C">
        <w:rPr>
          <w:rFonts w:ascii="Century Gothic" w:hAnsi="Century Gothic"/>
        </w:rPr>
        <w:t xml:space="preserve">pracowni </w:t>
      </w:r>
      <w:r w:rsidR="00B1217D" w:rsidRPr="00B1217D">
        <w:rPr>
          <w:rFonts w:ascii="Century Gothic" w:hAnsi="Century Gothic"/>
        </w:rPr>
        <w:t>obróbki ręcznej i maszynowej</w:t>
      </w:r>
      <w:r w:rsidRPr="00B747D4">
        <w:rPr>
          <w:rFonts w:ascii="Century Gothic" w:hAnsi="Century Gothic"/>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473B58" w:rsidRPr="00B747D4" w:rsidRDefault="00473B58" w:rsidP="003A5950">
      <w:pPr>
        <w:pStyle w:val="Tekstpodstawowy21"/>
        <w:spacing w:line="276" w:lineRule="auto"/>
        <w:jc w:val="left"/>
        <w:rPr>
          <w:rFonts w:ascii="Century Gothic" w:hAnsi="Century Gothic"/>
          <w:b/>
          <w:sz w:val="20"/>
          <w:szCs w:val="24"/>
        </w:rPr>
      </w:pP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 xml:space="preserve">ustawa z dnia 29 stycznia 2004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Prawo zamówień publicznych (tekst jednolity Dz. U. z 2013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poz. 907 ze zmianami),</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473B58" w:rsidRPr="00B747D4" w:rsidRDefault="00473B58" w:rsidP="003A5950">
      <w:pPr>
        <w:pStyle w:val="Tekstpodstawowy21"/>
        <w:spacing w:line="276" w:lineRule="auto"/>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473B58" w:rsidRDefault="00473B58" w:rsidP="003A5950">
      <w:pPr>
        <w:pStyle w:val="Tekstpodstawowy"/>
        <w:ind w:right="408"/>
        <w:jc w:val="both"/>
        <w:rPr>
          <w:rFonts w:ascii="Century Gothic" w:hAnsi="Century Gothic"/>
        </w:rPr>
      </w:pPr>
    </w:p>
    <w:p w:rsidR="00473B58" w:rsidRDefault="00473B58" w:rsidP="003A5950">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 xml:space="preserve">Przedmiotem zamówienia jest </w:t>
      </w:r>
      <w:r>
        <w:rPr>
          <w:rFonts w:ascii="Century Gothic" w:hAnsi="Century Gothic"/>
        </w:rPr>
        <w:t xml:space="preserve">sprzedaż (w tym dostarczenie) </w:t>
      </w:r>
      <w:r w:rsidRPr="00F0501E">
        <w:rPr>
          <w:rFonts w:ascii="Century Gothic" w:hAnsi="Century Gothic"/>
        </w:rPr>
        <w:t xml:space="preserve">sprzętu </w:t>
      </w:r>
      <w:r>
        <w:rPr>
          <w:rFonts w:ascii="Century Gothic" w:hAnsi="Century Gothic"/>
        </w:rPr>
        <w:t xml:space="preserve">do </w:t>
      </w:r>
      <w:r w:rsidRPr="0045393C">
        <w:rPr>
          <w:rFonts w:ascii="Century Gothic" w:hAnsi="Century Gothic"/>
        </w:rPr>
        <w:t xml:space="preserve">pracowni </w:t>
      </w:r>
      <w:r w:rsidR="00B1217D" w:rsidRPr="00B1217D">
        <w:rPr>
          <w:rFonts w:ascii="Century Gothic" w:hAnsi="Century Gothic"/>
        </w:rPr>
        <w:t xml:space="preserve"> obróbki ręcznej i maszynowej </w:t>
      </w:r>
      <w:r w:rsidR="00B1217D">
        <w:rPr>
          <w:rFonts w:ascii="Century Gothic" w:hAnsi="Century Gothic"/>
        </w:rPr>
        <w:t>do Zespołu</w:t>
      </w:r>
      <w:r>
        <w:rPr>
          <w:rFonts w:ascii="Century Gothic" w:hAnsi="Century Gothic"/>
        </w:rPr>
        <w:t xml:space="preserve"> Szkół Ponadgimnazjalnych </w:t>
      </w:r>
      <w:r w:rsidR="00B1217D">
        <w:rPr>
          <w:rFonts w:ascii="Century Gothic" w:hAnsi="Century Gothic"/>
        </w:rPr>
        <w:t>w Przasnyszu</w:t>
      </w:r>
      <w:r>
        <w:rPr>
          <w:rFonts w:ascii="Century Gothic" w:hAnsi="Century Gothic"/>
        </w:rPr>
        <w:t xml:space="preserve"> w zakresie szcz</w:t>
      </w:r>
      <w:r w:rsidR="00170C92">
        <w:rPr>
          <w:rFonts w:ascii="Century Gothic" w:hAnsi="Century Gothic"/>
        </w:rPr>
        <w:t>egółowo opisanym w załączniku 1</w:t>
      </w:r>
      <w:r>
        <w:rPr>
          <w:rFonts w:ascii="Century Gothic" w:hAnsi="Century Gothic"/>
        </w:rPr>
        <w:t xml:space="preserve"> do niniejszej SIWZ.</w:t>
      </w:r>
    </w:p>
    <w:p w:rsidR="00473B58" w:rsidRDefault="00473B58" w:rsidP="00F0501E">
      <w:pPr>
        <w:pStyle w:val="Tekstpodstawowy"/>
        <w:ind w:right="408"/>
        <w:jc w:val="both"/>
        <w:rPr>
          <w:rFonts w:ascii="Century Gothic" w:hAnsi="Century Gothic"/>
        </w:rPr>
      </w:pPr>
      <w:r>
        <w:rPr>
          <w:rFonts w:ascii="Century Gothic" w:hAnsi="Century Gothic"/>
        </w:rPr>
        <w:lastRenderedPageBreak/>
        <w:t>2</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Opisem Szczegółowym wymagania wspólne dotyczące przedmiotu zamówienia określa załącznik nr 9 do SIWZ. </w:t>
      </w:r>
    </w:p>
    <w:p w:rsidR="00473B58" w:rsidRDefault="00473B58" w:rsidP="00795B74">
      <w:pPr>
        <w:pStyle w:val="Tekstpodstawowy"/>
        <w:ind w:right="408"/>
        <w:jc w:val="both"/>
        <w:rPr>
          <w:rFonts w:ascii="Century Gothic" w:hAnsi="Century Gothic"/>
        </w:rPr>
      </w:pPr>
      <w:r>
        <w:rPr>
          <w:rFonts w:ascii="Century Gothic" w:hAnsi="Century Gothic"/>
        </w:rPr>
        <w:t>3</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473B58" w:rsidRDefault="00473B58" w:rsidP="00795B74">
      <w:pPr>
        <w:pStyle w:val="Tekstpodstawowy"/>
        <w:ind w:right="408"/>
        <w:jc w:val="both"/>
        <w:rPr>
          <w:rFonts w:ascii="Century Gothic" w:hAnsi="Century Gothic"/>
        </w:rPr>
      </w:pPr>
      <w:r>
        <w:rPr>
          <w:rFonts w:ascii="Century Gothic" w:hAnsi="Century Gothic"/>
        </w:rPr>
        <w:t>4.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473B58" w:rsidRDefault="00473B58" w:rsidP="00795B74">
      <w:pPr>
        <w:pStyle w:val="Tekstpodstawowy"/>
        <w:ind w:right="4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B1217D" w:rsidRDefault="00B1217D" w:rsidP="00B1217D">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42620000-8 Tokarki, obrabiarki do wiercenia i frezowania </w:t>
      </w:r>
    </w:p>
    <w:p w:rsidR="00B1217D" w:rsidRDefault="00B1217D" w:rsidP="00B1217D">
      <w:pPr>
        <w:pStyle w:val="Tekstpodstawowy2"/>
        <w:tabs>
          <w:tab w:val="left" w:pos="1134"/>
          <w:tab w:val="left" w:pos="4810"/>
        </w:tabs>
        <w:spacing w:line="276" w:lineRule="auto"/>
        <w:ind w:left="708"/>
        <w:jc w:val="both"/>
        <w:rPr>
          <w:rFonts w:ascii="Century Gothic" w:hAnsi="Century Gothic"/>
        </w:rPr>
      </w:pPr>
    </w:p>
    <w:p w:rsidR="00473B58" w:rsidRDefault="00473B58"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473B58" w:rsidRDefault="00473B58" w:rsidP="003A5950">
      <w:pPr>
        <w:pStyle w:val="Tekstpodstawowy"/>
        <w:spacing w:line="276" w:lineRule="auto"/>
        <w:ind w:right="408"/>
        <w:jc w:val="both"/>
        <w:rPr>
          <w:rFonts w:ascii="Century Gothic" w:hAnsi="Century Gothic"/>
        </w:rPr>
      </w:pPr>
    </w:p>
    <w:p w:rsidR="00473B58" w:rsidRPr="00B747D4" w:rsidRDefault="00473B58"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31 lipca 2015</w:t>
      </w:r>
      <w:r w:rsidRPr="00B747D4">
        <w:rPr>
          <w:rFonts w:ascii="Century Gothic" w:hAnsi="Century Gothic"/>
        </w:rPr>
        <w:t xml:space="preserve"> roku.</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473B58" w:rsidRPr="005034E4" w:rsidRDefault="00473B58"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034E4">
        <w:rPr>
          <w:rFonts w:ascii="Century Gothic" w:hAnsi="Century Gothic"/>
          <w:sz w:val="20"/>
        </w:rPr>
        <w:t xml:space="preserve">nakładają obowiązek ich posiadania; </w:t>
      </w:r>
    </w:p>
    <w:p w:rsidR="00473B58" w:rsidRDefault="00473B58" w:rsidP="005034E4">
      <w:pPr>
        <w:pStyle w:val="Tekstpodstawowy21"/>
        <w:tabs>
          <w:tab w:val="left" w:pos="284"/>
        </w:tabs>
        <w:spacing w:line="276" w:lineRule="auto"/>
        <w:jc w:val="both"/>
        <w:rPr>
          <w:rFonts w:ascii="Century Gothic" w:hAnsi="Century Gothic"/>
          <w:sz w:val="20"/>
        </w:rPr>
      </w:pPr>
      <w:r w:rsidRPr="005034E4">
        <w:rPr>
          <w:rFonts w:ascii="Century Gothic" w:hAnsi="Century Gothic"/>
          <w:bCs/>
          <w:sz w:val="20"/>
        </w:rPr>
        <w:t xml:space="preserve">b) posiadania wiedzy i doświadczenia, tj. w okresie ostatnich 3 lat przed upływem terminu składania ofert, </w:t>
      </w:r>
      <w:r w:rsidRPr="005034E4">
        <w:rPr>
          <w:rFonts w:ascii="Century Gothic" w:hAnsi="Century Gothic"/>
          <w:sz w:val="20"/>
        </w:rPr>
        <w:t xml:space="preserve">a jeżeli okres prowadzenia działalności jest krótszy - w tym okresie, </w:t>
      </w:r>
      <w:r w:rsidRPr="005034E4">
        <w:rPr>
          <w:rFonts w:ascii="Century Gothic" w:hAnsi="Century Gothic"/>
          <w:bCs/>
          <w:sz w:val="20"/>
        </w:rPr>
        <w:t xml:space="preserve">wykonali należycie  co najmniej dwie dostawy </w:t>
      </w:r>
      <w:r w:rsidR="00B1217D">
        <w:rPr>
          <w:rFonts w:ascii="Century Gothic" w:hAnsi="Century Gothic"/>
          <w:bCs/>
          <w:sz w:val="20"/>
        </w:rPr>
        <w:t xml:space="preserve">tokarek lub/i frezarek </w:t>
      </w:r>
      <w:r w:rsidRPr="005034E4">
        <w:rPr>
          <w:rFonts w:ascii="Century Gothic" w:hAnsi="Century Gothic"/>
          <w:bCs/>
          <w:sz w:val="20"/>
        </w:rPr>
        <w:t xml:space="preserve">o wartości nie </w:t>
      </w:r>
      <w:r w:rsidR="00B1217D">
        <w:rPr>
          <w:rFonts w:ascii="Century Gothic" w:hAnsi="Century Gothic"/>
          <w:bCs/>
          <w:sz w:val="20"/>
        </w:rPr>
        <w:t>mniejszej niż 1</w:t>
      </w:r>
      <w:r w:rsidRPr="005034E4">
        <w:rPr>
          <w:rFonts w:ascii="Century Gothic" w:hAnsi="Century Gothic"/>
          <w:bCs/>
          <w:sz w:val="20"/>
        </w:rPr>
        <w:t>0 000 zł (</w:t>
      </w:r>
      <w:r w:rsidR="00170C92">
        <w:rPr>
          <w:rFonts w:ascii="Century Gothic" w:hAnsi="Century Gothic"/>
          <w:bCs/>
          <w:sz w:val="20"/>
        </w:rPr>
        <w:t>dziesięć</w:t>
      </w:r>
      <w:r w:rsidRPr="005034E4">
        <w:rPr>
          <w:rFonts w:ascii="Century Gothic" w:hAnsi="Century Gothic"/>
          <w:bCs/>
          <w:sz w:val="20"/>
        </w:rPr>
        <w:t xml:space="preserve"> tysięcy złotych)</w:t>
      </w:r>
      <w:r>
        <w:rPr>
          <w:rFonts w:ascii="Century Gothic" w:hAnsi="Century Gothic"/>
          <w:sz w:val="20"/>
        </w:rPr>
        <w:t xml:space="preserve"> brutto każd</w:t>
      </w:r>
      <w:smartTag w:uri="urn:schemas-microsoft-com:office:smarttags" w:element="PersonName">
        <w:r>
          <w:rPr>
            <w:rFonts w:ascii="Century Gothic" w:hAnsi="Century Gothic"/>
            <w:sz w:val="20"/>
          </w:rPr>
          <w:t>a.</w:t>
        </w:r>
      </w:smartTag>
    </w:p>
    <w:p w:rsidR="00473B58" w:rsidRPr="00B747D4" w:rsidRDefault="00473B58" w:rsidP="005034E4">
      <w:pPr>
        <w:pStyle w:val="Tekstpodstawowy21"/>
        <w:tabs>
          <w:tab w:val="left" w:pos="284"/>
        </w:tabs>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w:t>
      </w:r>
      <w:smartTag w:uri="urn:schemas-microsoft-com:office:smarttags" w:element="PersonName">
        <w:r w:rsidRPr="00B747D4">
          <w:rPr>
            <w:rFonts w:ascii="Century Gothic" w:hAnsi="Century Gothic"/>
            <w:bCs/>
            <w:sz w:val="20"/>
            <w:szCs w:val="24"/>
          </w:rPr>
          <w:t>a.</w:t>
        </w:r>
      </w:smartTag>
      <w:r w:rsidRPr="00B747D4">
        <w:rPr>
          <w:rFonts w:ascii="Century Gothic" w:hAnsi="Century Gothic"/>
          <w:bCs/>
          <w:sz w:val="20"/>
        </w:rPr>
        <w:t xml:space="preserve"> </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d) syt</w:t>
      </w:r>
      <w:r w:rsidR="00B1217D">
        <w:rPr>
          <w:rFonts w:ascii="Century Gothic" w:hAnsi="Century Gothic"/>
          <w:bCs/>
          <w:sz w:val="20"/>
          <w:szCs w:val="24"/>
        </w:rPr>
        <w:t>uacji ekonomicznej i finansowej</w:t>
      </w:r>
      <w:r>
        <w:rPr>
          <w:rFonts w:ascii="Century Gothic" w:hAnsi="Century Gothic"/>
          <w:bCs/>
          <w:sz w:val="20"/>
          <w:szCs w:val="24"/>
        </w:rPr>
        <w:t xml:space="preserve">. </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2. Ocena spełnienia warunków nastąpi na podstawie przedstawionych przez Wykonawcę dokumentów, o których mowa w Rozdziale 6 SIWZ – zgodnie z formułą: spełnia - nie spełni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426"/>
        </w:tabs>
        <w:spacing w:line="276" w:lineRule="auto"/>
        <w:jc w:val="both"/>
        <w:rPr>
          <w:rFonts w:ascii="Century Gothic" w:hAnsi="Century Gothic"/>
          <w:sz w:val="20"/>
          <w:szCs w:val="24"/>
        </w:rPr>
      </w:pPr>
    </w:p>
    <w:p w:rsidR="00473B58" w:rsidRPr="00B747D4" w:rsidRDefault="00473B58"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lastRenderedPageBreak/>
        <w:t xml:space="preserve">aktualną informację z Krajowego Rejestru Karnego w zakresie określonym w art. 24 ust. 1 pkt 4-8 Ustawy, wystawioną nie wcześniej niż 6 miesięcy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473B58" w:rsidRPr="00B747D4" w:rsidRDefault="00473B58"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473B58" w:rsidRPr="00B747D4" w:rsidRDefault="00473B58"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473B58" w:rsidRPr="00B747D4" w:rsidRDefault="00473B58" w:rsidP="003A5950">
      <w:pPr>
        <w:ind w:firstLine="708"/>
        <w:rPr>
          <w:rFonts w:ascii="Century Gothic" w:hAnsi="Century Gothic"/>
          <w:sz w:val="20"/>
        </w:rPr>
      </w:pPr>
      <w:r w:rsidRPr="00B747D4">
        <w:rPr>
          <w:rFonts w:ascii="Century Gothic" w:hAnsi="Century Gothic"/>
          <w:sz w:val="20"/>
        </w:rPr>
        <w:t>Dowodami, o których mowa powyżej, są:</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473B58" w:rsidRPr="00B747D4" w:rsidRDefault="00473B58" w:rsidP="003A5950">
      <w:pPr>
        <w:pStyle w:val="Tekstpodstawowy2"/>
        <w:tabs>
          <w:tab w:val="left" w:pos="426"/>
        </w:tabs>
        <w:spacing w:line="276" w:lineRule="auto"/>
        <w:ind w:left="720"/>
        <w:jc w:val="both"/>
        <w:rPr>
          <w:rFonts w:ascii="Century Gothic" w:hAnsi="Century Gothic"/>
        </w:rPr>
      </w:pP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473B58" w:rsidRPr="00B747D4" w:rsidRDefault="00473B58"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Dokumenty, o których mowa w pkt 4 lit. a) tiret pierwsze i trzecie oraz lit. b) powinny być wystawione nie wcześniej niż 6 miesięcy przed upływem terminu składania ofert. </w:t>
      </w:r>
      <w:r w:rsidRPr="00B747D4">
        <w:rPr>
          <w:rFonts w:ascii="Century Gothic" w:hAnsi="Century Gothic"/>
        </w:rPr>
        <w:lastRenderedPageBreak/>
        <w:t>Dokumenty, o których mowa w pkt 4 lit. a) tiret drugie, powinny być wystawione nie wcześniej niż 3 miesiące przed upływem terminu składania ofert.</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Wykonawcy mogą wspólnie ubiegać się o udzielenie zamówieni</w:t>
      </w:r>
      <w:smartTag w:uri="urn:schemas-microsoft-com:office:smarttags" w:element="PersonName">
        <w:r w:rsidRPr="00B747D4">
          <w:rPr>
            <w:rFonts w:ascii="Century Gothic" w:hAnsi="Century Gothic"/>
          </w:rPr>
          <w:t>a.</w:t>
        </w:r>
      </w:smartTag>
      <w:r w:rsidRPr="00B747D4">
        <w:rPr>
          <w:rFonts w:ascii="Century Gothic" w:hAnsi="Century Gothic"/>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rPr>
          <w:t>a.</w:t>
        </w:r>
      </w:smartTag>
    </w:p>
    <w:p w:rsidR="00473B58" w:rsidRPr="00B747D4" w:rsidRDefault="00473B58" w:rsidP="003A5950">
      <w:pPr>
        <w:autoSpaceDE w:val="0"/>
        <w:ind w:left="1440" w:hanging="240"/>
        <w:rPr>
          <w:rFonts w:ascii="Century Gothic" w:hAnsi="Century Gothic"/>
          <w:sz w:val="20"/>
        </w:rPr>
      </w:pPr>
    </w:p>
    <w:p w:rsidR="00473B58" w:rsidRPr="00B747D4" w:rsidRDefault="00473B58"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473B58" w:rsidRPr="00B747D4" w:rsidRDefault="00473B58" w:rsidP="003A5950">
      <w:pPr>
        <w:pStyle w:val="Tekstpodstawowy2"/>
        <w:tabs>
          <w:tab w:val="left" w:pos="993"/>
        </w:tabs>
        <w:spacing w:line="276" w:lineRule="auto"/>
        <w:ind w:left="360" w:hanging="360"/>
        <w:rPr>
          <w:rFonts w:ascii="Century Gothic" w:hAnsi="Century Gothic"/>
          <w:b/>
          <w:bCs/>
        </w:rPr>
      </w:pP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473B58" w:rsidRPr="00B747D4" w:rsidRDefault="00473B58"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w:t>
      </w:r>
      <w:r w:rsidR="00B1217D">
        <w:rPr>
          <w:rFonts w:ascii="Century Gothic" w:hAnsi="Century Gothic"/>
        </w:rPr>
        <w:t>niedziel</w:t>
      </w:r>
      <w:r>
        <w:rPr>
          <w:rFonts w:ascii="Century Gothic" w:hAnsi="Century Gothic"/>
        </w:rPr>
        <w:t>ska</w:t>
      </w:r>
      <w:r w:rsidRPr="00B747D4">
        <w:rPr>
          <w:rFonts w:ascii="Century Gothic" w:hAnsi="Century Gothic"/>
        </w:rPr>
        <w:t>@arms</w:t>
      </w:r>
      <w:smartTag w:uri="urn:schemas-microsoft-com:office:smarttags" w:element="PersonName">
        <w:r w:rsidRPr="00B747D4">
          <w:rPr>
            <w:rFonts w:ascii="Century Gothic" w:hAnsi="Century Gothic"/>
          </w:rPr>
          <w:t>a.</w:t>
        </w:r>
      </w:smartTag>
      <w:r w:rsidRPr="00B747D4">
        <w:rPr>
          <w:rFonts w:ascii="Century Gothic" w:hAnsi="Century Gothic"/>
        </w:rPr>
        <w:t xml:space="preserve">pl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Jeżeli Zamawiający lub Wykonawca przekazują oświadczenia, wnioski, zawiadomienia oraz informacje e-mailem, każda ze stron na żądanie drugiej, niezwłocznie potwierdza fakt ich otrzymani</w:t>
      </w:r>
      <w:smartTag w:uri="urn:schemas-microsoft-com:office:smarttags" w:element="PersonName">
        <w:r w:rsidRPr="00B747D4">
          <w:rPr>
            <w:rFonts w:ascii="Century Gothic" w:hAnsi="Century Gothic"/>
          </w:rPr>
          <w:t>a.</w:t>
        </w:r>
      </w:smartTag>
      <w:r w:rsidRPr="00B747D4">
        <w:rPr>
          <w:rFonts w:ascii="Century Gothic" w:hAnsi="Century Gothic"/>
        </w:rPr>
        <w:t xml:space="preserve">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B1217D">
        <w:rPr>
          <w:rFonts w:ascii="Century Gothic" w:hAnsi="Century Gothic"/>
        </w:rPr>
        <w:t>Anna Niedzielska</w:t>
      </w:r>
      <w:r>
        <w:rPr>
          <w:rFonts w:ascii="Century Gothic" w:hAnsi="Century Gothic"/>
        </w:rPr>
        <w:t xml:space="preserve"> </w:t>
      </w:r>
      <w:r w:rsidRPr="00B747D4">
        <w:rPr>
          <w:rFonts w:ascii="Century Gothic" w:hAnsi="Century Gothic"/>
        </w:rPr>
        <w:t xml:space="preserve">(e-mail: </w:t>
      </w:r>
      <w:r>
        <w:rPr>
          <w:rFonts w:ascii="Century Gothic" w:hAnsi="Century Gothic"/>
        </w:rPr>
        <w:t>a.</w:t>
      </w:r>
      <w:r w:rsidR="00B1217D">
        <w:rPr>
          <w:rFonts w:ascii="Century Gothic" w:hAnsi="Century Gothic"/>
        </w:rPr>
        <w:t>niedziel</w:t>
      </w:r>
      <w:r>
        <w:rPr>
          <w:rFonts w:ascii="Century Gothic" w:hAnsi="Century Gothic"/>
        </w:rPr>
        <w:t>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473B58" w:rsidRPr="00B747D4" w:rsidRDefault="00473B58" w:rsidP="003A5950">
      <w:pPr>
        <w:pStyle w:val="Tekstpodstawowy21"/>
        <w:tabs>
          <w:tab w:val="left" w:pos="1146"/>
        </w:tabs>
        <w:spacing w:line="276" w:lineRule="auto"/>
        <w:ind w:left="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B1217D" w:rsidRPr="00B747D4" w:rsidRDefault="00473B58" w:rsidP="00B1217D">
      <w:pPr>
        <w:pStyle w:val="Tekstpodstawowy2"/>
        <w:tabs>
          <w:tab w:val="left" w:pos="180"/>
        </w:tabs>
        <w:spacing w:line="276" w:lineRule="auto"/>
        <w:ind w:left="360"/>
        <w:jc w:val="both"/>
        <w:rPr>
          <w:rFonts w:ascii="Century Gothic" w:hAnsi="Century Gothic"/>
        </w:rPr>
      </w:pPr>
      <w:r w:rsidRPr="00B747D4">
        <w:rPr>
          <w:rFonts w:ascii="Century Gothic" w:hAnsi="Century Gothic"/>
        </w:rPr>
        <w:t>Zamawiający</w:t>
      </w:r>
      <w:r w:rsidR="00B1217D">
        <w:rPr>
          <w:rFonts w:ascii="Century Gothic" w:hAnsi="Century Gothic"/>
        </w:rPr>
        <w:t xml:space="preserve"> nie wymaga wniesienia wadium.</w:t>
      </w:r>
    </w:p>
    <w:p w:rsidR="00473B58" w:rsidRPr="00B747D4" w:rsidRDefault="00473B58" w:rsidP="00B1217D">
      <w:pPr>
        <w:pStyle w:val="Tekstpodstawowy2"/>
        <w:tabs>
          <w:tab w:val="left" w:pos="180"/>
        </w:tabs>
        <w:spacing w:line="276" w:lineRule="auto"/>
        <w:ind w:left="360"/>
        <w:jc w:val="both"/>
        <w:rPr>
          <w:rFonts w:ascii="Century Gothic" w:hAnsi="Century Gothic"/>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3.  Pełnomocnictwo do podpisania oferty, – jeśli dotyczy – winno być dołączone do oferty w oryginale lub kopi poświadczonej „za zgodność z oryginałem” przez notariusz</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Treść dokumentu pełnomocnictwa musi określać zakres czynności, do jakich Mocodawca udzielił upoważnieni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p>
    <w:p w:rsidR="00473B58" w:rsidRPr="00B747D4" w:rsidRDefault="00473B58"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t>
      </w:r>
      <w:r w:rsidR="00B1217D">
        <w:rPr>
          <w:rFonts w:ascii="Century Gothic" w:hAnsi="Century Gothic"/>
          <w:b/>
          <w:sz w:val="20"/>
        </w:rPr>
        <w:t>pracowni</w:t>
      </w:r>
      <w:r w:rsidR="00B1217D" w:rsidRPr="00B1217D">
        <w:rPr>
          <w:rFonts w:ascii="Century Gothic" w:hAnsi="Century Gothic"/>
          <w:b/>
          <w:sz w:val="20"/>
        </w:rPr>
        <w:t xml:space="preserve"> obróbki ręcznej i maszynowej</w:t>
      </w:r>
      <w:r>
        <w:rPr>
          <w:rFonts w:ascii="Century Gothic" w:hAnsi="Century Gothic"/>
          <w:b/>
          <w:sz w:val="20"/>
        </w:rPr>
        <w:t>”</w:t>
      </w:r>
    </w:p>
    <w:p w:rsidR="00473B58" w:rsidRPr="00B747D4" w:rsidRDefault="00473B58"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sidR="00B1217D">
        <w:rPr>
          <w:rFonts w:ascii="Century Gothic" w:hAnsi="Century Gothic"/>
          <w:sz w:val="20"/>
        </w:rPr>
        <w:t>08</w:t>
      </w:r>
      <w:r>
        <w:rPr>
          <w:rFonts w:ascii="Century Gothic" w:hAnsi="Century Gothic"/>
          <w:sz w:val="20"/>
        </w:rPr>
        <w:t xml:space="preserve"> </w:t>
      </w:r>
      <w:r w:rsidR="00B1217D">
        <w:rPr>
          <w:rFonts w:ascii="Century Gothic" w:hAnsi="Century Gothic"/>
          <w:sz w:val="20"/>
        </w:rPr>
        <w:t>czerwc</w:t>
      </w:r>
      <w:r>
        <w:rPr>
          <w:rFonts w:ascii="Century Gothic" w:hAnsi="Century Gothic"/>
          <w:sz w:val="20"/>
        </w:rPr>
        <w:t xml:space="preserve">a </w:t>
      </w:r>
      <w:r w:rsidRPr="00B747D4">
        <w:rPr>
          <w:rFonts w:ascii="Century Gothic" w:hAnsi="Century Gothic"/>
          <w:sz w:val="20"/>
        </w:rPr>
        <w:t>201</w:t>
      </w:r>
      <w:r>
        <w:rPr>
          <w:rFonts w:ascii="Century Gothic" w:hAnsi="Century Gothic"/>
          <w:sz w:val="20"/>
        </w:rPr>
        <w:t xml:space="preserve">5 </w:t>
      </w:r>
      <w:smartTag w:uri="urn:schemas-microsoft-com:office:smarttags" w:element="PersonName">
        <w:r>
          <w:rPr>
            <w:rFonts w:ascii="Century Gothic" w:hAnsi="Century Gothic"/>
            <w:sz w:val="20"/>
          </w:rPr>
          <w:t>r.</w:t>
        </w:r>
      </w:smartTag>
      <w:r>
        <w:rPr>
          <w:rFonts w:ascii="Century Gothic" w:hAnsi="Century Gothic"/>
          <w:sz w:val="20"/>
        </w:rPr>
        <w:t xml:space="preserve"> do godz. 09.15</w:t>
      </w:r>
    </w:p>
    <w:p w:rsidR="00473B58" w:rsidRPr="00B747D4" w:rsidRDefault="00473B58"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lastRenderedPageBreak/>
        <w:t>11. MIEJSCE ORAZ TERMIN SKŁADANIA I OTWARCIA OFERT.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sidR="00B1217D">
        <w:rPr>
          <w:rFonts w:ascii="Century Gothic" w:hAnsi="Century Gothic"/>
          <w:sz w:val="20"/>
          <w:szCs w:val="24"/>
        </w:rPr>
        <w:t>Świętojerska 9, 00-236</w:t>
      </w:r>
      <w:r w:rsidRPr="00B747D4">
        <w:rPr>
          <w:rFonts w:ascii="Century Gothic" w:hAnsi="Century Gothic"/>
          <w:sz w:val="20"/>
          <w:szCs w:val="24"/>
        </w:rPr>
        <w:t xml:space="preserve"> Warszawa</w:t>
      </w:r>
      <w:r w:rsidR="00B1217D">
        <w:rPr>
          <w:rFonts w:ascii="Century Gothic" w:hAnsi="Century Gothic"/>
          <w:b/>
          <w:sz w:val="20"/>
          <w:szCs w:val="24"/>
        </w:rPr>
        <w: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B1217D">
        <w:rPr>
          <w:rFonts w:ascii="Century Gothic" w:hAnsi="Century Gothic"/>
          <w:sz w:val="20"/>
          <w:szCs w:val="24"/>
        </w:rPr>
        <w:t>08</w:t>
      </w:r>
      <w:r>
        <w:rPr>
          <w:rFonts w:ascii="Century Gothic" w:hAnsi="Century Gothic"/>
          <w:sz w:val="20"/>
          <w:szCs w:val="24"/>
        </w:rPr>
        <w:t xml:space="preserve"> </w:t>
      </w:r>
      <w:r w:rsidR="00B1217D">
        <w:rPr>
          <w:rFonts w:ascii="Century Gothic" w:hAnsi="Century Gothic"/>
          <w:sz w:val="20"/>
          <w:szCs w:val="24"/>
        </w:rPr>
        <w:t>czerwc</w:t>
      </w:r>
      <w:r>
        <w:rPr>
          <w:rFonts w:ascii="Century Gothic" w:hAnsi="Century Gothic"/>
          <w:sz w:val="20"/>
          <w:szCs w:val="24"/>
        </w:rPr>
        <w:t xml:space="preserve">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B1217D">
        <w:rPr>
          <w:rFonts w:ascii="Century Gothic" w:hAnsi="Century Gothic"/>
          <w:sz w:val="20"/>
          <w:szCs w:val="24"/>
        </w:rPr>
        <w:t>08</w:t>
      </w:r>
      <w:r>
        <w:rPr>
          <w:rFonts w:ascii="Century Gothic" w:hAnsi="Century Gothic"/>
          <w:sz w:val="20"/>
          <w:szCs w:val="24"/>
        </w:rPr>
        <w:t xml:space="preserve"> </w:t>
      </w:r>
      <w:r w:rsidR="00B1217D">
        <w:rPr>
          <w:rFonts w:ascii="Century Gothic" w:hAnsi="Century Gothic"/>
          <w:sz w:val="20"/>
          <w:szCs w:val="24"/>
        </w:rPr>
        <w:t>czerwc</w:t>
      </w:r>
      <w:r>
        <w:rPr>
          <w:rFonts w:ascii="Century Gothic" w:hAnsi="Century Gothic"/>
          <w:sz w:val="20"/>
          <w:szCs w:val="24"/>
        </w:rPr>
        <w:t>a 2015 roku godz. 09.15</w:t>
      </w:r>
      <w:r w:rsidR="00B1217D">
        <w:rPr>
          <w:rFonts w:ascii="Century Gothic" w:hAnsi="Century Gothic"/>
          <w:sz w:val="20"/>
          <w:szCs w:val="24"/>
        </w:rPr>
        <w: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Wykonawca nie może zastrzec informacji, o których mowa w treści art. 86 ust 4 Ustawy.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473B58" w:rsidRPr="00B747D4" w:rsidRDefault="00473B58" w:rsidP="003A5950">
      <w:pPr>
        <w:pStyle w:val="Tekstpodstawowy21"/>
        <w:tabs>
          <w:tab w:val="left" w:pos="360"/>
        </w:tabs>
        <w:spacing w:line="276" w:lineRule="auto"/>
        <w:jc w:val="both"/>
        <w:rPr>
          <w:rFonts w:ascii="Century Gothic" w:hAnsi="Century Gothic"/>
          <w:sz w:val="20"/>
          <w:szCs w:val="24"/>
        </w:rPr>
      </w:pPr>
    </w:p>
    <w:p w:rsidR="00473B58"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473B58" w:rsidRPr="00B747D4" w:rsidRDefault="00473B58" w:rsidP="00997F5F">
      <w:pPr>
        <w:pStyle w:val="Tekstpodstawowy21"/>
        <w:tabs>
          <w:tab w:val="left" w:pos="1320"/>
        </w:tabs>
        <w:spacing w:line="276" w:lineRule="auto"/>
        <w:ind w:left="480"/>
        <w:jc w:val="both"/>
        <w:rPr>
          <w:rFonts w:ascii="Century Gothic" w:hAnsi="Century Gothic"/>
          <w:b/>
          <w:bCs/>
          <w:sz w:val="20"/>
          <w:szCs w:val="24"/>
        </w:rPr>
      </w:pP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473B58" w:rsidRDefault="00473B58"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lastRenderedPageBreak/>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473B58" w:rsidRPr="00B747D4" w:rsidRDefault="00473B58" w:rsidP="00997F5F">
      <w:pPr>
        <w:pStyle w:val="Tekstpodstawowy21"/>
        <w:tabs>
          <w:tab w:val="left" w:pos="360"/>
        </w:tabs>
        <w:spacing w:line="276" w:lineRule="auto"/>
        <w:jc w:val="both"/>
        <w:rPr>
          <w:rFonts w:ascii="Century Gothic" w:hAnsi="Century Gothic"/>
          <w:sz w:val="20"/>
          <w:szCs w:val="24"/>
        </w:rPr>
      </w:pP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lastRenderedPageBreak/>
        <w:t>14.  INFORMACJE O FORMALNOŚCIACH, JAKIE POWINNY ZOSTAĆ DOPEŁNIONE PO WYBORZE OFERTY W CELU ZAWARCIA UMOWY W SPRAWIE ZAMÓWIENIA PUBLICZNEGO.</w:t>
      </w: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w:t>
      </w:r>
      <w:smartTag w:uri="urn:schemas-microsoft-com:office:smarttags" w:element="PersonName">
        <w:r w:rsidRPr="00B747D4">
          <w:rPr>
            <w:rFonts w:ascii="Century Gothic" w:hAnsi="Century Gothic"/>
            <w:bCs/>
            <w:sz w:val="20"/>
          </w:rPr>
          <w:t>a.</w:t>
        </w:r>
      </w:smartTag>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Zamawiający wymaga podpisania umowy w terminie określonym w stosownym zawiadomieniu, nie krótszym niż 2 dni od daty jego doręczeni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473B58" w:rsidRPr="00B747D4" w:rsidRDefault="00473B58" w:rsidP="003A5950">
      <w:pPr>
        <w:pStyle w:val="Tekstpodstawowy21"/>
        <w:tabs>
          <w:tab w:val="left" w:pos="2073"/>
        </w:tabs>
        <w:spacing w:line="276" w:lineRule="auto"/>
        <w:ind w:left="540" w:hanging="540"/>
        <w:jc w:val="both"/>
        <w:rPr>
          <w:rFonts w:ascii="Century Gothic" w:hAnsi="Century Gothic"/>
          <w:sz w:val="20"/>
          <w:szCs w:val="24"/>
        </w:rPr>
      </w:pPr>
    </w:p>
    <w:p w:rsidR="00473B58" w:rsidRDefault="00B1217D" w:rsidP="00B1217D">
      <w:pPr>
        <w:pStyle w:val="Tekstpodstawowy21"/>
        <w:tabs>
          <w:tab w:val="left" w:pos="1953"/>
        </w:tabs>
        <w:spacing w:line="276" w:lineRule="auto"/>
        <w:ind w:left="480"/>
        <w:jc w:val="both"/>
        <w:rPr>
          <w:rFonts w:ascii="Century Gothic" w:hAnsi="Century Gothic"/>
          <w:sz w:val="20"/>
          <w:szCs w:val="24"/>
        </w:rPr>
      </w:pPr>
      <w:r>
        <w:rPr>
          <w:rFonts w:ascii="Century Gothic" w:hAnsi="Century Gothic"/>
          <w:sz w:val="20"/>
          <w:szCs w:val="24"/>
        </w:rPr>
        <w:t xml:space="preserve">Zamawiający nie wymaga wniesienia zabezpieczenia. </w:t>
      </w:r>
    </w:p>
    <w:p w:rsidR="00B1217D" w:rsidRPr="00B747D4" w:rsidRDefault="00B1217D" w:rsidP="00B1217D">
      <w:pPr>
        <w:pStyle w:val="Tekstpodstawowy21"/>
        <w:tabs>
          <w:tab w:val="left" w:pos="1953"/>
        </w:tabs>
        <w:spacing w:line="276" w:lineRule="auto"/>
        <w:ind w:left="480"/>
        <w:jc w:val="both"/>
        <w:rPr>
          <w:rFonts w:ascii="Century Gothic" w:hAnsi="Century Gothic"/>
          <w:b/>
          <w:bCs/>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t>
      </w:r>
      <w:r w:rsidRPr="00B747D4">
        <w:rPr>
          <w:rFonts w:ascii="Century Gothic" w:hAnsi="Century Gothic"/>
          <w:sz w:val="20"/>
        </w:rPr>
        <w:lastRenderedPageBreak/>
        <w:t xml:space="preserve">Wykonawcę. Zamawiający poinformuje Wykonawcę o wydłużeniu okresu realizacji Projektu, z co najmniej 7 dniowym wyprzedzeniem. </w:t>
      </w:r>
    </w:p>
    <w:p w:rsidR="00473B58" w:rsidRPr="00B747D4" w:rsidRDefault="00473B58" w:rsidP="003A5950">
      <w:pPr>
        <w:pStyle w:val="Tekstpodstawowy21"/>
        <w:tabs>
          <w:tab w:val="left" w:pos="1713"/>
        </w:tabs>
        <w:spacing w:line="276" w:lineRule="auto"/>
        <w:ind w:left="360" w:hanging="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w:t>
      </w:r>
      <w:r>
        <w:rPr>
          <w:rFonts w:ascii="Century Gothic" w:hAnsi="Century Gothic"/>
          <w:sz w:val="20"/>
          <w:szCs w:val="24"/>
        </w:rPr>
        <w:t xml:space="preserve"> nie dopuszcza składania</w:t>
      </w:r>
      <w:r w:rsidRPr="005660A1">
        <w:rPr>
          <w:rFonts w:ascii="Century Gothic" w:hAnsi="Century Gothic"/>
          <w:sz w:val="20"/>
          <w:szCs w:val="24"/>
        </w:rPr>
        <w:t xml:space="preserve"> of</w:t>
      </w:r>
      <w:r>
        <w:rPr>
          <w:rFonts w:ascii="Century Gothic" w:hAnsi="Century Gothic"/>
          <w:sz w:val="20"/>
          <w:szCs w:val="24"/>
        </w:rPr>
        <w:t>ert częściowych.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473B58" w:rsidRPr="00B747D4" w:rsidRDefault="00473B58"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 </w:t>
      </w:r>
      <w:r w:rsidRPr="00B747D4">
        <w:rPr>
          <w:rFonts w:ascii="Century Gothic" w:hAnsi="Century Gothic"/>
          <w:sz w:val="20"/>
          <w:szCs w:val="24"/>
        </w:rPr>
        <w:t>- Opis</w:t>
      </w:r>
      <w:r>
        <w:rPr>
          <w:rFonts w:ascii="Century Gothic" w:hAnsi="Century Gothic"/>
          <w:sz w:val="20"/>
          <w:szCs w:val="24"/>
        </w:rPr>
        <w:t xml:space="preserve"> Szczegółowy,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473B58" w:rsidRPr="00DD1E3E" w:rsidRDefault="00473B58"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473B58" w:rsidRDefault="00473B58"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9 – szczegółowe wymagania dotyczące przedmiotu zamówieni</w:t>
      </w:r>
      <w:smartTag w:uri="urn:schemas-microsoft-com:office:smarttags" w:element="PersonName">
        <w:r>
          <w:rPr>
            <w:rFonts w:ascii="Century Gothic" w:hAnsi="Century Gothic"/>
            <w:sz w:val="20"/>
            <w:szCs w:val="24"/>
          </w:rPr>
          <w:t>a.</w:t>
        </w:r>
      </w:smartTag>
      <w:r>
        <w:rPr>
          <w:rFonts w:ascii="Century Gothic" w:hAnsi="Century Gothic"/>
          <w:sz w:val="20"/>
          <w:szCs w:val="24"/>
        </w:rPr>
        <w:t xml:space="preserve"> </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473B58" w:rsidRPr="00B747D4" w:rsidRDefault="00473B58" w:rsidP="003A5950">
      <w:pPr>
        <w:rPr>
          <w:rFonts w:ascii="Century Gothic" w:hAnsi="Century Gothic"/>
          <w:sz w:val="18"/>
          <w:szCs w:val="20"/>
        </w:rPr>
      </w:pPr>
      <w:r w:rsidRPr="00B747D4">
        <w:rPr>
          <w:rFonts w:ascii="Century Gothic" w:hAnsi="Century Gothic"/>
          <w:sz w:val="18"/>
          <w:szCs w:val="20"/>
        </w:rPr>
        <w:t xml:space="preserve"> </w:t>
      </w:r>
    </w:p>
    <w:p w:rsidR="00473B58" w:rsidRPr="00B747D4" w:rsidRDefault="00473B58" w:rsidP="003A5950">
      <w:pPr>
        <w:rPr>
          <w:rFonts w:ascii="Century Gothic" w:hAnsi="Century Gothic"/>
        </w:rPr>
      </w:pPr>
    </w:p>
    <w:p w:rsidR="00473B58" w:rsidRPr="00537A60" w:rsidRDefault="00473B58" w:rsidP="00EE7D6B">
      <w:pPr>
        <w:jc w:val="both"/>
      </w:pPr>
    </w:p>
    <w:sectPr w:rsidR="00473B58"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FE" w:rsidRDefault="004E47FE" w:rsidP="005313B3">
      <w:pPr>
        <w:spacing w:after="0" w:line="240" w:lineRule="auto"/>
      </w:pPr>
      <w:r>
        <w:separator/>
      </w:r>
    </w:p>
  </w:endnote>
  <w:endnote w:type="continuationSeparator" w:id="0">
    <w:p w:rsidR="004E47FE" w:rsidRDefault="004E47FE"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473B58" w:rsidP="001F5B9A">
    <w:pPr>
      <w:pStyle w:val="Stopka"/>
    </w:pPr>
  </w:p>
  <w:p w:rsidR="00473B58" w:rsidRDefault="00473B58" w:rsidP="001F5B9A">
    <w:pPr>
      <w:pStyle w:val="Stopka"/>
    </w:pPr>
  </w:p>
  <w:p w:rsidR="00473B58" w:rsidRPr="001F5B9A" w:rsidRDefault="00CA1090" w:rsidP="001F5B9A">
    <w:pPr>
      <w:pStyle w:val="Stopka"/>
    </w:pPr>
    <w:r>
      <w:rPr>
        <w:noProof/>
        <w:lang w:eastAsia="pl-PL"/>
      </w:rPr>
      <mc:AlternateContent>
        <mc:Choice Requires="wps">
          <w:drawing>
            <wp:anchor distT="4294967292" distB="4294967292"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0AD49"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5D0986">
                            <w:rPr>
                              <w:noProof/>
                              <w:color w:val="BFBFBF"/>
                              <w:sz w:val="18"/>
                              <w:szCs w:val="18"/>
                            </w:rPr>
                            <w:t>7</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5D0986">
                            <w:rPr>
                              <w:noProof/>
                              <w:color w:val="BFBFBF"/>
                              <w:sz w:val="18"/>
                              <w:szCs w:val="18"/>
                            </w:rPr>
                            <w:t>10</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5D0986">
                      <w:rPr>
                        <w:noProof/>
                        <w:color w:val="BFBFBF"/>
                        <w:sz w:val="18"/>
                        <w:szCs w:val="18"/>
                      </w:rPr>
                      <w:t>7</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5D0986">
                      <w:rPr>
                        <w:noProof/>
                        <w:color w:val="BFBFBF"/>
                        <w:sz w:val="18"/>
                        <w:szCs w:val="18"/>
                      </w:rPr>
                      <w:t>10</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6" distR="114296"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E772" id="AutoShape 6" o:spid="_x0000_s1026" type="#_x0000_t32" style="position:absolute;margin-left:491.65pt;margin-top:-29.2pt;width:0;height:80.3pt;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FE" w:rsidRDefault="004E47FE" w:rsidP="005313B3">
      <w:pPr>
        <w:spacing w:after="0" w:line="240" w:lineRule="auto"/>
      </w:pPr>
      <w:r>
        <w:separator/>
      </w:r>
    </w:p>
  </w:footnote>
  <w:footnote w:type="continuationSeparator" w:id="0">
    <w:p w:rsidR="004E47FE" w:rsidRDefault="004E47FE"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CA1090">
    <w:pPr>
      <w:pStyle w:val="Nagwek"/>
    </w:pPr>
    <w:r>
      <w:rPr>
        <w:noProof/>
        <w:lang w:eastAsia="pl-PL"/>
      </w:rPr>
      <mc:AlternateContent>
        <mc:Choice Requires="wps">
          <w:drawing>
            <wp:anchor distT="4294967292" distB="4294967292"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29D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0" t="0" r="0" b="508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sidR="005D0986">
                            <w:rPr>
                              <w:sz w:val="14"/>
                              <w:szCs w:val="14"/>
                            </w:rPr>
                            <w:t>236</w:t>
                          </w:r>
                          <w:r w:rsidRPr="005E0840">
                            <w:rPr>
                              <w:sz w:val="14"/>
                              <w:szCs w:val="14"/>
                            </w:rPr>
                            <w:t xml:space="preserve"> Warszawa, ul. </w:t>
                          </w:r>
                          <w:r w:rsidR="005D0986">
                            <w:rPr>
                              <w:sz w:val="14"/>
                              <w:szCs w:val="14"/>
                              <w:lang w:val="de-DE"/>
                            </w:rPr>
                            <w:t>Świętojerska 9</w:t>
                          </w:r>
                          <w:r w:rsidRPr="00610787">
                            <w:rPr>
                              <w:sz w:val="14"/>
                              <w:szCs w:val="14"/>
                              <w:lang w:val="de-DE"/>
                            </w:rPr>
                            <w:t>,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sidR="005D0986">
                      <w:rPr>
                        <w:sz w:val="14"/>
                        <w:szCs w:val="14"/>
                      </w:rPr>
                      <w:t>236</w:t>
                    </w:r>
                    <w:r w:rsidRPr="005E0840">
                      <w:rPr>
                        <w:sz w:val="14"/>
                        <w:szCs w:val="14"/>
                      </w:rPr>
                      <w:t xml:space="preserve"> Warszawa, ul. </w:t>
                    </w:r>
                    <w:r w:rsidR="005D0986">
                      <w:rPr>
                        <w:sz w:val="14"/>
                        <w:szCs w:val="14"/>
                        <w:lang w:val="de-DE"/>
                      </w:rPr>
                      <w:t>Świętojerska 9</w:t>
                    </w:r>
                    <w:r w:rsidRPr="00610787">
                      <w:rPr>
                        <w:sz w:val="14"/>
                        <w:szCs w:val="14"/>
                        <w:lang w:val="de-DE"/>
                      </w:rPr>
                      <w:t>,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15:restartNumberingAfterBreak="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0C92"/>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D04BC"/>
    <w:rsid w:val="003D6ABD"/>
    <w:rsid w:val="003E21B2"/>
    <w:rsid w:val="003F429C"/>
    <w:rsid w:val="003F6C6C"/>
    <w:rsid w:val="00406062"/>
    <w:rsid w:val="00411D18"/>
    <w:rsid w:val="00423289"/>
    <w:rsid w:val="00432D8D"/>
    <w:rsid w:val="0045393C"/>
    <w:rsid w:val="00456353"/>
    <w:rsid w:val="0046543A"/>
    <w:rsid w:val="0046749E"/>
    <w:rsid w:val="00472FD1"/>
    <w:rsid w:val="00473B58"/>
    <w:rsid w:val="00482164"/>
    <w:rsid w:val="004828CE"/>
    <w:rsid w:val="004A731F"/>
    <w:rsid w:val="004B06CA"/>
    <w:rsid w:val="004B7259"/>
    <w:rsid w:val="004C0297"/>
    <w:rsid w:val="004C6188"/>
    <w:rsid w:val="004D06EA"/>
    <w:rsid w:val="004D261F"/>
    <w:rsid w:val="004E23B0"/>
    <w:rsid w:val="004E47FE"/>
    <w:rsid w:val="004E491B"/>
    <w:rsid w:val="004F28CA"/>
    <w:rsid w:val="005034E4"/>
    <w:rsid w:val="00512BF3"/>
    <w:rsid w:val="00526FA9"/>
    <w:rsid w:val="005313B3"/>
    <w:rsid w:val="00537A60"/>
    <w:rsid w:val="0054167D"/>
    <w:rsid w:val="00542C1D"/>
    <w:rsid w:val="00546DED"/>
    <w:rsid w:val="00552D87"/>
    <w:rsid w:val="005660A1"/>
    <w:rsid w:val="005667A3"/>
    <w:rsid w:val="00572E68"/>
    <w:rsid w:val="00584B42"/>
    <w:rsid w:val="00585D3F"/>
    <w:rsid w:val="005A27A9"/>
    <w:rsid w:val="005A3E58"/>
    <w:rsid w:val="005D0986"/>
    <w:rsid w:val="005D7C20"/>
    <w:rsid w:val="005E0840"/>
    <w:rsid w:val="005E2B24"/>
    <w:rsid w:val="005F70E8"/>
    <w:rsid w:val="00602807"/>
    <w:rsid w:val="00603CD9"/>
    <w:rsid w:val="00604523"/>
    <w:rsid w:val="00607CAF"/>
    <w:rsid w:val="00610787"/>
    <w:rsid w:val="00615148"/>
    <w:rsid w:val="00634944"/>
    <w:rsid w:val="00660770"/>
    <w:rsid w:val="00660E4A"/>
    <w:rsid w:val="00666BA9"/>
    <w:rsid w:val="00673EA5"/>
    <w:rsid w:val="00677997"/>
    <w:rsid w:val="00684317"/>
    <w:rsid w:val="00686FFF"/>
    <w:rsid w:val="006979FD"/>
    <w:rsid w:val="00697BB1"/>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D416F"/>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D549A"/>
    <w:rsid w:val="008E131B"/>
    <w:rsid w:val="008F47C8"/>
    <w:rsid w:val="0090242F"/>
    <w:rsid w:val="00903592"/>
    <w:rsid w:val="0092218A"/>
    <w:rsid w:val="0092698F"/>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217D"/>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44D9"/>
    <w:rsid w:val="00C06808"/>
    <w:rsid w:val="00C068B3"/>
    <w:rsid w:val="00C112A9"/>
    <w:rsid w:val="00C15C11"/>
    <w:rsid w:val="00C427C7"/>
    <w:rsid w:val="00C43741"/>
    <w:rsid w:val="00C5548F"/>
    <w:rsid w:val="00C6082B"/>
    <w:rsid w:val="00C90579"/>
    <w:rsid w:val="00CA1090"/>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1311D"/>
    <w:rsid w:val="00E17D39"/>
    <w:rsid w:val="00E21D50"/>
    <w:rsid w:val="00E36BFF"/>
    <w:rsid w:val="00E66253"/>
    <w:rsid w:val="00E80618"/>
    <w:rsid w:val="00EA0C5E"/>
    <w:rsid w:val="00EB1EEB"/>
    <w:rsid w:val="00EC0485"/>
    <w:rsid w:val="00EE5634"/>
    <w:rsid w:val="00EE7D6B"/>
    <w:rsid w:val="00EF47CB"/>
    <w:rsid w:val="00F0501E"/>
    <w:rsid w:val="00F103AD"/>
    <w:rsid w:val="00F13AD3"/>
    <w:rsid w:val="00F25D37"/>
    <w:rsid w:val="00F26AD8"/>
    <w:rsid w:val="00F31F38"/>
    <w:rsid w:val="00F35766"/>
    <w:rsid w:val="00F47DB2"/>
    <w:rsid w:val="00F5061F"/>
    <w:rsid w:val="00F50774"/>
    <w:rsid w:val="00F64BA8"/>
    <w:rsid w:val="00F816BC"/>
    <w:rsid w:val="00F857C6"/>
    <w:rsid w:val="00F91334"/>
    <w:rsid w:val="00FA2444"/>
    <w:rsid w:val="00FB0F95"/>
    <w:rsid w:val="00FC1DA6"/>
    <w:rsid w:val="00FE286E"/>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D3EBE868-CCBE-4951-8C06-B72CD99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3115</Words>
  <Characters>19720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aniedzielska</cp:lastModifiedBy>
  <cp:revision>4</cp:revision>
  <cp:lastPrinted>2015-05-29T12:15:00Z</cp:lastPrinted>
  <dcterms:created xsi:type="dcterms:W3CDTF">2015-05-29T11:44:00Z</dcterms:created>
  <dcterms:modified xsi:type="dcterms:W3CDTF">2015-05-29T12:15:00Z</dcterms:modified>
</cp:coreProperties>
</file>