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77" w:rsidRPr="00B747D4" w:rsidRDefault="00857577" w:rsidP="003A5950">
      <w:pPr>
        <w:pStyle w:val="Nagwek"/>
        <w:tabs>
          <w:tab w:val="left" w:pos="4155"/>
        </w:tabs>
        <w:snapToGrid w:val="0"/>
        <w:spacing w:line="276" w:lineRule="auto"/>
        <w:rPr>
          <w:rFonts w:ascii="Century Gothic" w:hAnsi="Century Gothic"/>
          <w:b/>
          <w:color w:val="008000"/>
          <w:spacing w:val="-24"/>
          <w:sz w:val="20"/>
        </w:rPr>
      </w:pPr>
    </w:p>
    <w:p w:rsidR="00857577" w:rsidRPr="00B747D4" w:rsidRDefault="00857577"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03 kwietnia 2015</w:t>
      </w:r>
      <w:r w:rsidRPr="00B747D4">
        <w:rPr>
          <w:rFonts w:ascii="Century Gothic" w:hAnsi="Century Gothic"/>
          <w:sz w:val="20"/>
        </w:rPr>
        <w:t xml:space="preserve"> r.</w:t>
      </w:r>
    </w:p>
    <w:p w:rsidR="00857577" w:rsidRPr="00B747D4" w:rsidRDefault="00857577" w:rsidP="003A5950">
      <w:pPr>
        <w:pStyle w:val="Nagwek"/>
        <w:tabs>
          <w:tab w:val="left" w:pos="708"/>
        </w:tabs>
        <w:spacing w:line="276" w:lineRule="auto"/>
        <w:rPr>
          <w:rFonts w:ascii="Century Gothic" w:hAnsi="Century Gothic"/>
          <w:sz w:val="20"/>
        </w:rPr>
      </w:pPr>
      <w:r>
        <w:rPr>
          <w:rFonts w:ascii="Century Gothic" w:hAnsi="Century Gothic"/>
          <w:sz w:val="20"/>
        </w:rPr>
        <w:t>Znak ARM/11/15</w:t>
      </w:r>
    </w:p>
    <w:p w:rsidR="00857577" w:rsidRDefault="00857577" w:rsidP="003A5950">
      <w:pPr>
        <w:pStyle w:val="Nagwek5"/>
        <w:widowControl w:val="0"/>
        <w:numPr>
          <w:ilvl w:val="4"/>
          <w:numId w:val="0"/>
        </w:numPr>
        <w:tabs>
          <w:tab w:val="num" w:pos="1008"/>
        </w:tabs>
        <w:ind w:left="1008" w:hanging="1008"/>
        <w:rPr>
          <w:rFonts w:ascii="Century Gothic" w:hAnsi="Century Gothic"/>
          <w:szCs w:val="24"/>
        </w:rPr>
      </w:pPr>
    </w:p>
    <w:p w:rsidR="00857577" w:rsidRPr="005660A1" w:rsidRDefault="00857577" w:rsidP="005660A1"/>
    <w:p w:rsidR="00857577" w:rsidRPr="00B747D4" w:rsidRDefault="00857577"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857577" w:rsidRPr="00B747D4" w:rsidRDefault="00857577" w:rsidP="003A5950">
      <w:pPr>
        <w:pStyle w:val="Tekstpodstawowy"/>
        <w:spacing w:line="276" w:lineRule="auto"/>
        <w:ind w:right="408"/>
        <w:jc w:val="center"/>
        <w:rPr>
          <w:rFonts w:ascii="Century Gothic" w:hAnsi="Century Gothic"/>
        </w:rPr>
      </w:pPr>
    </w:p>
    <w:p w:rsidR="00857577" w:rsidRPr="00B747D4" w:rsidRDefault="00857577"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857577" w:rsidRPr="00B747D4" w:rsidRDefault="00857577"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857577" w:rsidRPr="00D2647D" w:rsidRDefault="00857577" w:rsidP="003A5950">
      <w:pPr>
        <w:pStyle w:val="Tekstpodstawowy"/>
        <w:spacing w:line="276" w:lineRule="auto"/>
        <w:ind w:right="408"/>
        <w:jc w:val="center"/>
        <w:rPr>
          <w:rFonts w:ascii="Century Gothic" w:hAnsi="Century Gothic"/>
          <w:b/>
          <w:u w:val="single"/>
        </w:rPr>
      </w:pPr>
      <w:r w:rsidRPr="00B747D4">
        <w:rPr>
          <w:rFonts w:ascii="Century Gothic" w:hAnsi="Century Gothic"/>
        </w:rPr>
        <w:t xml:space="preserve"> „</w:t>
      </w:r>
      <w:r w:rsidRPr="00D2647D">
        <w:rPr>
          <w:rFonts w:ascii="Century Gothic" w:hAnsi="Century Gothic"/>
          <w:b/>
          <w:u w:val="single"/>
        </w:rPr>
        <w:t xml:space="preserve">na realizację ekspertyzy pn. „Model współpracy z przedsiębiorcami - na przykładzie województwa mazowieckiego” </w:t>
      </w:r>
    </w:p>
    <w:p w:rsidR="00857577" w:rsidRPr="00B747D4" w:rsidRDefault="00857577" w:rsidP="003A5950">
      <w:pPr>
        <w:pStyle w:val="Tekstpodstawowy21"/>
        <w:spacing w:line="276" w:lineRule="auto"/>
        <w:jc w:val="left"/>
        <w:rPr>
          <w:rFonts w:ascii="Century Gothic" w:hAnsi="Century Gothic"/>
          <w:sz w:val="20"/>
          <w:szCs w:val="24"/>
        </w:rPr>
      </w:pPr>
    </w:p>
    <w:p w:rsidR="00857577" w:rsidRPr="00B747D4" w:rsidRDefault="00857577"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857577" w:rsidRPr="00B747D4" w:rsidRDefault="00857577"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857577" w:rsidRPr="00B747D4" w:rsidRDefault="00857577" w:rsidP="00F0501E">
      <w:pPr>
        <w:pStyle w:val="Tekstpodstawowy2"/>
        <w:spacing w:line="276" w:lineRule="auto"/>
        <w:jc w:val="left"/>
        <w:rPr>
          <w:rFonts w:ascii="Century Gothic" w:hAnsi="Century Gothic"/>
          <w:b/>
        </w:rPr>
      </w:pPr>
      <w:r w:rsidRPr="00B747D4">
        <w:rPr>
          <w:rFonts w:ascii="Century Gothic" w:hAnsi="Century Gothic"/>
          <w:b/>
        </w:rPr>
        <w:t xml:space="preserve">ul. </w:t>
      </w:r>
      <w:proofErr w:type="spellStart"/>
      <w:r>
        <w:rPr>
          <w:rFonts w:ascii="Century Gothic" w:hAnsi="Century Gothic"/>
          <w:b/>
        </w:rPr>
        <w:t>Świętojerska</w:t>
      </w:r>
      <w:proofErr w:type="spellEnd"/>
      <w:r>
        <w:rPr>
          <w:rFonts w:ascii="Century Gothic" w:hAnsi="Century Gothic"/>
          <w:b/>
        </w:rPr>
        <w:t xml:space="preserve"> 9, 00-236</w:t>
      </w:r>
      <w:r w:rsidRPr="00B747D4">
        <w:rPr>
          <w:rFonts w:ascii="Century Gothic" w:hAnsi="Century Gothic"/>
          <w:b/>
        </w:rPr>
        <w:t xml:space="preserve"> Warszawa </w:t>
      </w:r>
    </w:p>
    <w:p w:rsidR="00857577" w:rsidRPr="00B747D4" w:rsidRDefault="00857577"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857577" w:rsidRPr="00B747D4" w:rsidRDefault="00857577" w:rsidP="00F0501E">
      <w:pPr>
        <w:pStyle w:val="Tekstpodstawowy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857577" w:rsidRPr="00B747D4" w:rsidRDefault="00857577"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857577" w:rsidRPr="00B747D4" w:rsidRDefault="00857577"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8" w:history="1">
        <w:r w:rsidRPr="00B747D4">
          <w:rPr>
            <w:rStyle w:val="Hipercze"/>
            <w:rFonts w:ascii="Century Gothic" w:hAnsi="Century Gothic"/>
          </w:rPr>
          <w:t>www.armsa.pl</w:t>
        </w:r>
      </w:hyperlink>
    </w:p>
    <w:p w:rsidR="00857577" w:rsidRPr="00B747D4" w:rsidRDefault="00857577" w:rsidP="003A5950">
      <w:pPr>
        <w:pStyle w:val="Tekstpodstawowy21"/>
        <w:spacing w:line="276" w:lineRule="auto"/>
        <w:jc w:val="left"/>
        <w:rPr>
          <w:rFonts w:ascii="Century Gothic" w:hAnsi="Century Gothic"/>
          <w:b/>
          <w:sz w:val="20"/>
          <w:szCs w:val="24"/>
        </w:rPr>
      </w:pPr>
    </w:p>
    <w:p w:rsidR="00857577" w:rsidRPr="00B747D4" w:rsidRDefault="00857577"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857577" w:rsidRPr="00B747D4" w:rsidRDefault="00857577"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857577" w:rsidRPr="00B747D4" w:rsidRDefault="00857577"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857577" w:rsidRPr="00B747D4" w:rsidRDefault="00857577"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857577" w:rsidRPr="00B747D4" w:rsidRDefault="00857577"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857577" w:rsidRPr="00B747D4" w:rsidRDefault="00857577"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857577" w:rsidRPr="00B747D4" w:rsidRDefault="00857577"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857577" w:rsidRPr="00B747D4" w:rsidRDefault="00857577"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857577" w:rsidRPr="00B747D4" w:rsidRDefault="00857577" w:rsidP="003A5950">
      <w:pPr>
        <w:pStyle w:val="Tekstpodstawowy21"/>
        <w:spacing w:line="276" w:lineRule="auto"/>
        <w:jc w:val="left"/>
        <w:rPr>
          <w:rFonts w:ascii="Century Gothic" w:hAnsi="Century Gothic"/>
          <w:sz w:val="20"/>
          <w:szCs w:val="24"/>
        </w:rPr>
      </w:pPr>
    </w:p>
    <w:p w:rsidR="00857577" w:rsidRPr="00B747D4" w:rsidRDefault="00857577" w:rsidP="003A5950">
      <w:pPr>
        <w:pStyle w:val="Tekstpodstawowy21"/>
        <w:spacing w:line="276" w:lineRule="auto"/>
        <w:jc w:val="left"/>
        <w:rPr>
          <w:rFonts w:ascii="Century Gothic" w:hAnsi="Century Gothic"/>
          <w:sz w:val="20"/>
          <w:szCs w:val="24"/>
        </w:rPr>
      </w:pPr>
    </w:p>
    <w:p w:rsidR="00857577" w:rsidRPr="00B747D4" w:rsidRDefault="00857577"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857577" w:rsidRPr="00B747D4" w:rsidRDefault="00857577"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857577" w:rsidRPr="00B747D4" w:rsidRDefault="00857577" w:rsidP="003A5950">
      <w:pPr>
        <w:pStyle w:val="Tekstpodstawowy21"/>
        <w:spacing w:line="276" w:lineRule="auto"/>
        <w:jc w:val="both"/>
        <w:rPr>
          <w:rFonts w:ascii="Century Gothic" w:hAnsi="Century Gothic"/>
          <w:b/>
          <w:bCs/>
          <w:sz w:val="20"/>
          <w:szCs w:val="24"/>
        </w:rPr>
      </w:pPr>
    </w:p>
    <w:p w:rsidR="00857577" w:rsidRPr="00B747D4" w:rsidRDefault="00857577"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857577" w:rsidRDefault="00857577" w:rsidP="00F621D7">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Przedmio</w:t>
      </w:r>
      <w:r>
        <w:rPr>
          <w:rFonts w:ascii="Century Gothic" w:hAnsi="Century Gothic"/>
        </w:rPr>
        <w:t>tem zamówienia jest  przeprowadzenie</w:t>
      </w:r>
      <w:r w:rsidRPr="00D2647D">
        <w:rPr>
          <w:rFonts w:ascii="Century Gothic" w:hAnsi="Century Gothic"/>
        </w:rPr>
        <w:t xml:space="preserve"> badań na potrzeby przygotowania ekspertyzy</w:t>
      </w:r>
      <w:r>
        <w:rPr>
          <w:rFonts w:ascii="Century Gothic" w:hAnsi="Century Gothic"/>
        </w:rPr>
        <w:t xml:space="preserve"> </w:t>
      </w:r>
      <w:r w:rsidRPr="00D2647D">
        <w:rPr>
          <w:rFonts w:ascii="Century Gothic" w:hAnsi="Century Gothic"/>
        </w:rPr>
        <w:t>pn. „Model współpracy z przedsiębiorcami - na przykładzie województwa mazowieckiego</w:t>
      </w:r>
      <w:r>
        <w:rPr>
          <w:rFonts w:ascii="Century Gothic" w:hAnsi="Century Gothic"/>
        </w:rPr>
        <w:t xml:space="preserve">”. Celem badań </w:t>
      </w:r>
      <w:r w:rsidRPr="00D2647D">
        <w:rPr>
          <w:rFonts w:ascii="Century Gothic" w:hAnsi="Century Gothic"/>
        </w:rPr>
        <w:t xml:space="preserve"> jest dokonanie identyfikacji i oceny założeń możliwego do zaimplementowania na terenie województwa mazowieckiego </w:t>
      </w:r>
      <w:r w:rsidRPr="00D2647D">
        <w:rPr>
          <w:rFonts w:ascii="Century Gothic" w:hAnsi="Century Gothic"/>
        </w:rPr>
        <w:lastRenderedPageBreak/>
        <w:t>modelu współpracy przedsiębiorców ze szkołami zawodowymi, który w większym stopniu niż obecnie odpowiadałby potrzebom przedsiębiorców, szkołom zawodowym, a przede wszystkim absolwentom szkół zawodowych w kontekście ich przyszłego udziału w rynku pracy</w:t>
      </w:r>
      <w:r>
        <w:rPr>
          <w:rFonts w:ascii="Century Gothic" w:hAnsi="Century Gothic"/>
        </w:rPr>
        <w:t>. Szczegółowy opis przedmiotu zamówienia określa załącznik nr 1 do niniejszej SIWZ.</w:t>
      </w:r>
    </w:p>
    <w:p w:rsidR="00857577" w:rsidRDefault="00857577" w:rsidP="00795B74">
      <w:pPr>
        <w:pStyle w:val="Tekstpodstawowy"/>
        <w:ind w:right="408"/>
        <w:jc w:val="both"/>
        <w:rPr>
          <w:rFonts w:ascii="Century Gothic" w:hAnsi="Century Gothic"/>
        </w:rPr>
      </w:pPr>
      <w:r>
        <w:rPr>
          <w:rFonts w:ascii="Century Gothic" w:hAnsi="Century Gothic"/>
        </w:rPr>
        <w:t>2.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857577" w:rsidRPr="00B747D4" w:rsidRDefault="00857577"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3</w:t>
      </w:r>
      <w:r w:rsidRPr="00B747D4">
        <w:rPr>
          <w:rFonts w:ascii="Century Gothic" w:hAnsi="Century Gothic"/>
        </w:rPr>
        <w:t>. Przedmiot zamówienia wg kodów Wspólnego Słownika Zamówień (CPV).</w:t>
      </w:r>
    </w:p>
    <w:p w:rsidR="00857577" w:rsidRDefault="008575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73000000-2 </w:t>
      </w:r>
      <w:r w:rsidRPr="00D2647D">
        <w:rPr>
          <w:rFonts w:ascii="Century Gothic" w:hAnsi="Century Gothic"/>
        </w:rPr>
        <w:t>Usługi badawcze i eksperymentalno-rozwojowe oraz pokrewne usługi doradcze</w:t>
      </w:r>
      <w:r>
        <w:rPr>
          <w:rFonts w:ascii="Century Gothic" w:hAnsi="Century Gothic"/>
        </w:rPr>
        <w:t>,</w:t>
      </w:r>
    </w:p>
    <w:p w:rsidR="00857577" w:rsidRDefault="008575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73300000-5 Projekt i realizacja badań oraz rozwój, </w:t>
      </w:r>
    </w:p>
    <w:p w:rsidR="00857577" w:rsidRDefault="008575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79311200-9 Usługi przeprowadzania badań ankietowych,</w:t>
      </w:r>
    </w:p>
    <w:p w:rsidR="00857577" w:rsidRDefault="008575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79315000-5 Usługi badań społecznych, </w:t>
      </w:r>
    </w:p>
    <w:p w:rsidR="00857577" w:rsidRDefault="00857577" w:rsidP="00D2647D">
      <w:pPr>
        <w:pStyle w:val="Tekstpodstawowy2"/>
        <w:tabs>
          <w:tab w:val="left" w:pos="1134"/>
          <w:tab w:val="left" w:pos="4810"/>
        </w:tabs>
        <w:spacing w:line="276" w:lineRule="auto"/>
        <w:ind w:left="708"/>
        <w:jc w:val="both"/>
        <w:rPr>
          <w:rFonts w:ascii="Century Gothic" w:hAnsi="Century Gothic"/>
          <w:b/>
        </w:rPr>
      </w:pPr>
      <w:r>
        <w:rPr>
          <w:rFonts w:ascii="Century Gothic" w:hAnsi="Century Gothic"/>
        </w:rPr>
        <w:t xml:space="preserve">79419000-4 </w:t>
      </w:r>
      <w:r w:rsidRPr="00D2647D">
        <w:rPr>
          <w:rFonts w:ascii="Century Gothic" w:hAnsi="Century Gothic"/>
        </w:rPr>
        <w:t>Usługi konsultacyjne w zakresie ewaluacji</w:t>
      </w:r>
      <w:r>
        <w:rPr>
          <w:rFonts w:ascii="Century Gothic" w:hAnsi="Century Gothic"/>
        </w:rPr>
        <w:t>.</w:t>
      </w:r>
    </w:p>
    <w:p w:rsidR="00857577" w:rsidRDefault="00857577" w:rsidP="00EA6EC2">
      <w:pPr>
        <w:pStyle w:val="Tekstpodstawowy2"/>
        <w:tabs>
          <w:tab w:val="left" w:pos="1134"/>
          <w:tab w:val="left" w:pos="4810"/>
        </w:tabs>
        <w:spacing w:line="276" w:lineRule="auto"/>
        <w:jc w:val="both"/>
        <w:rPr>
          <w:rFonts w:ascii="Century Gothic" w:hAnsi="Century Gothic"/>
          <w:b/>
        </w:rPr>
      </w:pPr>
    </w:p>
    <w:p w:rsidR="00857577" w:rsidRPr="00B747D4" w:rsidRDefault="00857577" w:rsidP="00EA6EC2">
      <w:pPr>
        <w:pStyle w:val="Tekstpodstawowy2"/>
        <w:tabs>
          <w:tab w:val="left" w:pos="1134"/>
          <w:tab w:val="left" w:pos="4810"/>
        </w:tabs>
        <w:spacing w:line="276" w:lineRule="auto"/>
        <w:jc w:val="both"/>
        <w:rPr>
          <w:rFonts w:ascii="Century Gothic" w:hAnsi="Century Gothic"/>
        </w:rPr>
      </w:pPr>
      <w:r w:rsidRPr="00B747D4">
        <w:rPr>
          <w:rFonts w:ascii="Century Gothic" w:hAnsi="Century Gothic"/>
          <w:b/>
        </w:rPr>
        <w:t>4.</w:t>
      </w:r>
      <w:r w:rsidRPr="00B747D4">
        <w:rPr>
          <w:rFonts w:ascii="Century Gothic" w:hAnsi="Century Gothic"/>
        </w:rPr>
        <w:t xml:space="preserve"> </w:t>
      </w:r>
      <w:r w:rsidRPr="00B747D4">
        <w:rPr>
          <w:rFonts w:ascii="Century Gothic" w:hAnsi="Century Gothic"/>
          <w:b/>
          <w:bCs/>
        </w:rPr>
        <w:t>TERMIN WYKONANIA ZAMÓWIENIA</w:t>
      </w:r>
    </w:p>
    <w:p w:rsidR="00857577" w:rsidRDefault="00857577" w:rsidP="00F65513">
      <w:pPr>
        <w:pStyle w:val="Tekstpodstawowy"/>
        <w:spacing w:after="0"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zgodnie z terminami wskazanymi w załączniku nr 1, z tym że całość usługi nie później niż </w:t>
      </w:r>
      <w:r w:rsidRPr="00B747D4">
        <w:rPr>
          <w:rFonts w:ascii="Century Gothic" w:hAnsi="Century Gothic"/>
        </w:rPr>
        <w:t xml:space="preserve">do </w:t>
      </w:r>
      <w:r>
        <w:rPr>
          <w:rFonts w:ascii="Century Gothic" w:hAnsi="Century Gothic"/>
        </w:rPr>
        <w:t>30 września 2015</w:t>
      </w:r>
      <w:r w:rsidRPr="00B747D4">
        <w:rPr>
          <w:rFonts w:ascii="Century Gothic" w:hAnsi="Century Gothic"/>
        </w:rPr>
        <w:t xml:space="preserve"> roku.</w:t>
      </w:r>
    </w:p>
    <w:p w:rsidR="00857577" w:rsidRPr="00B747D4" w:rsidRDefault="00857577" w:rsidP="00F65513">
      <w:pPr>
        <w:pStyle w:val="Tekstpodstawowy"/>
        <w:spacing w:after="0" w:line="276" w:lineRule="auto"/>
        <w:ind w:right="408"/>
        <w:jc w:val="both"/>
        <w:rPr>
          <w:rFonts w:ascii="Century Gothic" w:hAnsi="Century Gothic"/>
        </w:rPr>
      </w:pPr>
    </w:p>
    <w:p w:rsidR="00857577" w:rsidRPr="00B747D4" w:rsidRDefault="00857577" w:rsidP="00F65513">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857577" w:rsidRPr="00B747D4" w:rsidRDefault="00857577"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857577" w:rsidRPr="00F621D7" w:rsidRDefault="00857577"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t>
      </w:r>
      <w:r w:rsidRPr="00F621D7">
        <w:rPr>
          <w:rFonts w:ascii="Century Gothic" w:hAnsi="Century Gothic"/>
          <w:sz w:val="20"/>
        </w:rPr>
        <w:t xml:space="preserve">wykonywania określonej działalności lub czynności, jeżeli przepisy prawa nakładają obowiązek ich posiadania; </w:t>
      </w:r>
    </w:p>
    <w:p w:rsidR="00857577" w:rsidRDefault="00857577" w:rsidP="00F621D7">
      <w:pPr>
        <w:pStyle w:val="Tekstpodstawowy21"/>
        <w:tabs>
          <w:tab w:val="left" w:pos="284"/>
        </w:tabs>
        <w:spacing w:line="276" w:lineRule="auto"/>
        <w:jc w:val="both"/>
        <w:rPr>
          <w:rFonts w:ascii="Century Gothic" w:hAnsi="Century Gothic"/>
          <w:bCs/>
          <w:sz w:val="20"/>
        </w:rPr>
      </w:pPr>
      <w:r w:rsidRPr="00F621D7">
        <w:rPr>
          <w:rFonts w:ascii="Century Gothic" w:hAnsi="Century Gothic"/>
          <w:bCs/>
          <w:sz w:val="20"/>
        </w:rPr>
        <w:t xml:space="preserve">b) posiadania wiedzy i doświadczenia, tj. w okresie ostatnich 3 lat przed upływem terminu składania ofert, </w:t>
      </w:r>
      <w:r w:rsidRPr="00F621D7">
        <w:rPr>
          <w:rFonts w:ascii="Century Gothic" w:hAnsi="Century Gothic"/>
          <w:sz w:val="20"/>
        </w:rPr>
        <w:t xml:space="preserve">a jeżeli okres prowadzenia działalności jest krótszy - w tym okresie, </w:t>
      </w:r>
      <w:r w:rsidRPr="00F621D7">
        <w:rPr>
          <w:rFonts w:ascii="Century Gothic" w:hAnsi="Century Gothic"/>
          <w:bCs/>
          <w:sz w:val="20"/>
        </w:rPr>
        <w:t>wykonali należycie co najmniej</w:t>
      </w:r>
    </w:p>
    <w:p w:rsidR="00857577" w:rsidRDefault="00857577" w:rsidP="00F621D7">
      <w:pPr>
        <w:pStyle w:val="Tekstpodstawowy21"/>
        <w:tabs>
          <w:tab w:val="left" w:pos="284"/>
        </w:tabs>
        <w:spacing w:line="276" w:lineRule="auto"/>
        <w:jc w:val="both"/>
        <w:rPr>
          <w:rFonts w:ascii="Century Gothic" w:hAnsi="Century Gothic"/>
          <w:sz w:val="20"/>
        </w:rPr>
      </w:pPr>
      <w:r>
        <w:rPr>
          <w:rFonts w:ascii="Century Gothic" w:hAnsi="Century Gothic"/>
          <w:sz w:val="20"/>
        </w:rPr>
        <w:t xml:space="preserve">- </w:t>
      </w:r>
      <w:r w:rsidRPr="00D2647D">
        <w:rPr>
          <w:rFonts w:ascii="Century Gothic" w:hAnsi="Century Gothic"/>
          <w:sz w:val="20"/>
        </w:rPr>
        <w:t>3 badania ewaluacyjne i/lub analizy w ramach których dokonano analiz statystycznych i/lub finansowych o łącznej wartości  co najmniej 300.000,00 zł brutto</w:t>
      </w:r>
      <w:r>
        <w:rPr>
          <w:rFonts w:ascii="Century Gothic" w:hAnsi="Century Gothic"/>
          <w:sz w:val="20"/>
        </w:rPr>
        <w:t xml:space="preserve"> oraz</w:t>
      </w:r>
    </w:p>
    <w:p w:rsidR="00857577" w:rsidRPr="00F621D7" w:rsidRDefault="00857577" w:rsidP="00F621D7">
      <w:pPr>
        <w:pStyle w:val="Tekstpodstawowy21"/>
        <w:tabs>
          <w:tab w:val="left" w:pos="284"/>
        </w:tabs>
        <w:spacing w:line="276" w:lineRule="auto"/>
        <w:jc w:val="both"/>
        <w:rPr>
          <w:rFonts w:ascii="Century Gothic" w:hAnsi="Century Gothic"/>
          <w:bCs/>
          <w:sz w:val="20"/>
        </w:rPr>
      </w:pPr>
      <w:r>
        <w:rPr>
          <w:rFonts w:ascii="Century Gothic" w:hAnsi="Century Gothic"/>
          <w:bCs/>
          <w:sz w:val="20"/>
        </w:rPr>
        <w:t xml:space="preserve">- </w:t>
      </w:r>
      <w:r w:rsidRPr="00D2647D">
        <w:rPr>
          <w:rFonts w:ascii="Century Gothic" w:hAnsi="Century Gothic"/>
          <w:bCs/>
          <w:sz w:val="20"/>
        </w:rPr>
        <w:t>3 badania ewaluacyjne i/lub analizy obejmujące ocenę działań z zakresu rynek pracy, edukacja lub przedsiębiorczość, o łącznej wartości co najmniej 80.000,00 zł brutto</w:t>
      </w:r>
      <w:r>
        <w:rPr>
          <w:rFonts w:ascii="Century Gothic" w:hAnsi="Century Gothic"/>
          <w:bCs/>
          <w:sz w:val="20"/>
        </w:rPr>
        <w:t>.</w:t>
      </w:r>
    </w:p>
    <w:p w:rsidR="00857577" w:rsidRDefault="00857577" w:rsidP="003A5950">
      <w:pPr>
        <w:pStyle w:val="Tekstpodstawowy21"/>
        <w:spacing w:line="276" w:lineRule="auto"/>
        <w:jc w:val="both"/>
        <w:rPr>
          <w:rFonts w:ascii="Century Gothic" w:hAnsi="Century Gothic"/>
          <w:bCs/>
          <w:sz w:val="20"/>
          <w:szCs w:val="24"/>
        </w:rPr>
      </w:pPr>
      <w:r w:rsidRPr="00B747D4">
        <w:rPr>
          <w:rFonts w:ascii="Century Gothic" w:hAnsi="Century Gothic"/>
          <w:bCs/>
          <w:sz w:val="20"/>
          <w:szCs w:val="24"/>
        </w:rPr>
        <w:t>c) dysponowania odpowiednim potencjałem technicznym oraz osobami z</w:t>
      </w:r>
      <w:r>
        <w:rPr>
          <w:rFonts w:ascii="Century Gothic" w:hAnsi="Century Gothic"/>
          <w:bCs/>
          <w:sz w:val="20"/>
          <w:szCs w:val="24"/>
        </w:rPr>
        <w:t>dolnymi do wykonania zamówienia tj. o udzielenie zamówienia mogą się ubiegać Wykonawcy dysponujący zespołem składającym się co najmniej z:</w:t>
      </w:r>
    </w:p>
    <w:p w:rsidR="00857577" w:rsidRPr="00326F46" w:rsidRDefault="00857577" w:rsidP="00F65513">
      <w:pPr>
        <w:pStyle w:val="Tekstpodstawowy21"/>
        <w:spacing w:line="276" w:lineRule="auto"/>
        <w:jc w:val="both"/>
        <w:rPr>
          <w:rFonts w:ascii="Century Gothic" w:hAnsi="Century Gothic"/>
          <w:bCs/>
          <w:sz w:val="20"/>
          <w:szCs w:val="24"/>
        </w:rPr>
      </w:pPr>
      <w:r>
        <w:rPr>
          <w:rFonts w:ascii="Century Gothic" w:hAnsi="Century Gothic"/>
          <w:bCs/>
          <w:sz w:val="20"/>
          <w:szCs w:val="24"/>
        </w:rPr>
        <w:t>- 1 osoby pełniącej</w:t>
      </w:r>
      <w:r w:rsidRPr="00326F46">
        <w:rPr>
          <w:rFonts w:ascii="Century Gothic" w:hAnsi="Century Gothic"/>
          <w:bCs/>
          <w:sz w:val="20"/>
          <w:szCs w:val="24"/>
        </w:rPr>
        <w:t xml:space="preserve"> funkcję kierownika/koordynatora</w:t>
      </w:r>
      <w:r>
        <w:rPr>
          <w:rFonts w:ascii="Century Gothic" w:hAnsi="Century Gothic"/>
          <w:bCs/>
          <w:sz w:val="20"/>
          <w:szCs w:val="24"/>
        </w:rPr>
        <w:t xml:space="preserve"> zespołu badawczego, posiadającej</w:t>
      </w:r>
      <w:r w:rsidRPr="00326F46">
        <w:rPr>
          <w:rFonts w:ascii="Century Gothic" w:hAnsi="Century Gothic"/>
          <w:bCs/>
          <w:sz w:val="20"/>
          <w:szCs w:val="24"/>
        </w:rPr>
        <w:t xml:space="preserve"> wykształcenie wyższe minimum stopień doktora nauk ekonomicznych lub społecznych z doświadczeniem w kierowaniu (koordynowaniu) co najmniej 3 badaniami ewaluacyjnymi lub/i analizami lub/i ekspertyzami, w tym co najmniej 2 w ramach których dokonano badań przy użyciu indywidualnych wywiadów pogłębionych IDI, o wartości każdego badania ewaluacyjnego co najmniej 65 000,00 zł brutto. Ponadto łączna wartość wykonanych przez nią badań ewaluacyjnych/analizy/ekspertyzy wynosi c</w:t>
      </w:r>
      <w:r>
        <w:rPr>
          <w:rFonts w:ascii="Century Gothic" w:hAnsi="Century Gothic"/>
          <w:bCs/>
          <w:sz w:val="20"/>
          <w:szCs w:val="24"/>
        </w:rPr>
        <w:t>o najmniej 300.000,00 zł brutto oraz</w:t>
      </w:r>
    </w:p>
    <w:p w:rsidR="00857577" w:rsidRPr="00326F46" w:rsidRDefault="00857577" w:rsidP="00F65513">
      <w:pPr>
        <w:pStyle w:val="Tekstpodstawowy21"/>
        <w:spacing w:line="276" w:lineRule="auto"/>
        <w:jc w:val="both"/>
        <w:rPr>
          <w:rFonts w:ascii="Century Gothic" w:hAnsi="Century Gothic"/>
          <w:bCs/>
          <w:sz w:val="20"/>
          <w:szCs w:val="24"/>
        </w:rPr>
      </w:pPr>
      <w:r w:rsidRPr="00326F46">
        <w:rPr>
          <w:rFonts w:ascii="Century Gothic" w:hAnsi="Century Gothic"/>
          <w:bCs/>
          <w:sz w:val="20"/>
          <w:szCs w:val="24"/>
        </w:rPr>
        <w:t>-</w:t>
      </w:r>
      <w:r w:rsidRPr="00326F46">
        <w:rPr>
          <w:rFonts w:ascii="Century Gothic" w:hAnsi="Century Gothic"/>
          <w:bCs/>
          <w:sz w:val="20"/>
          <w:szCs w:val="24"/>
        </w:rPr>
        <w:tab/>
        <w:t>1 osob</w:t>
      </w:r>
      <w:r>
        <w:rPr>
          <w:rFonts w:ascii="Century Gothic" w:hAnsi="Century Gothic"/>
          <w:bCs/>
          <w:sz w:val="20"/>
          <w:szCs w:val="24"/>
        </w:rPr>
        <w:t>y pełniącej</w:t>
      </w:r>
      <w:r w:rsidRPr="00326F46">
        <w:rPr>
          <w:rFonts w:ascii="Century Gothic" w:hAnsi="Century Gothic"/>
          <w:bCs/>
          <w:sz w:val="20"/>
          <w:szCs w:val="24"/>
        </w:rPr>
        <w:t xml:space="preserve"> funkcję członka zespołu badawczego, posiadająca wykształcenie wyższe minimum stopień doktora nauk ekonomicznych lub społecznych z doświadczeniem w realizacji co najmniej 2 badań ewaluacyjnych lub/i analiz lub/i ekspertyz (</w:t>
      </w:r>
      <w:r>
        <w:rPr>
          <w:rFonts w:ascii="Century Gothic" w:hAnsi="Century Gothic"/>
          <w:bCs/>
          <w:sz w:val="20"/>
          <w:szCs w:val="24"/>
        </w:rPr>
        <w:t xml:space="preserve">z wyłączeniem usług </w:t>
      </w:r>
      <w:proofErr w:type="spellStart"/>
      <w:r>
        <w:rPr>
          <w:rFonts w:ascii="Century Gothic" w:hAnsi="Century Gothic"/>
          <w:bCs/>
          <w:sz w:val="20"/>
          <w:szCs w:val="24"/>
        </w:rPr>
        <w:t>audytowych</w:t>
      </w:r>
      <w:proofErr w:type="spellEnd"/>
      <w:r>
        <w:rPr>
          <w:rFonts w:ascii="Century Gothic" w:hAnsi="Century Gothic"/>
          <w:bCs/>
          <w:sz w:val="20"/>
          <w:szCs w:val="24"/>
        </w:rPr>
        <w:t>)</w:t>
      </w:r>
      <w:r w:rsidRPr="00326F46">
        <w:rPr>
          <w:rFonts w:ascii="Century Gothic" w:hAnsi="Century Gothic"/>
          <w:bCs/>
          <w:sz w:val="20"/>
          <w:szCs w:val="24"/>
        </w:rPr>
        <w:t>, w ramach których dokonano badań przy użyciu indywidualnych wywiadów pogłębionych IDI (osoba była bezpośrednio odpowiedzialna</w:t>
      </w:r>
      <w:r>
        <w:rPr>
          <w:rFonts w:ascii="Century Gothic" w:hAnsi="Century Gothic"/>
          <w:bCs/>
          <w:sz w:val="20"/>
          <w:szCs w:val="24"/>
        </w:rPr>
        <w:t xml:space="preserve"> za przeprowadzenia </w:t>
      </w:r>
      <w:r>
        <w:rPr>
          <w:rFonts w:ascii="Century Gothic" w:hAnsi="Century Gothic"/>
          <w:bCs/>
          <w:sz w:val="20"/>
          <w:szCs w:val="24"/>
        </w:rPr>
        <w:lastRenderedPageBreak/>
        <w:t xml:space="preserve">ww. analiz) oraz </w:t>
      </w:r>
    </w:p>
    <w:p w:rsidR="00857577" w:rsidRPr="00326F46" w:rsidRDefault="00857577" w:rsidP="00F65513">
      <w:pPr>
        <w:pStyle w:val="Tekstpodstawowy21"/>
        <w:spacing w:line="276" w:lineRule="auto"/>
        <w:jc w:val="both"/>
        <w:rPr>
          <w:rFonts w:ascii="Century Gothic" w:hAnsi="Century Gothic"/>
          <w:bCs/>
          <w:sz w:val="20"/>
          <w:szCs w:val="24"/>
        </w:rPr>
      </w:pPr>
      <w:r>
        <w:rPr>
          <w:rFonts w:ascii="Century Gothic" w:hAnsi="Century Gothic"/>
          <w:bCs/>
          <w:sz w:val="20"/>
          <w:szCs w:val="24"/>
        </w:rPr>
        <w:t>-</w:t>
      </w:r>
      <w:r>
        <w:rPr>
          <w:rFonts w:ascii="Century Gothic" w:hAnsi="Century Gothic"/>
          <w:bCs/>
          <w:sz w:val="20"/>
          <w:szCs w:val="24"/>
        </w:rPr>
        <w:tab/>
        <w:t>1 osoby pełniącej</w:t>
      </w:r>
      <w:r w:rsidRPr="00326F46">
        <w:rPr>
          <w:rFonts w:ascii="Century Gothic" w:hAnsi="Century Gothic"/>
          <w:bCs/>
          <w:sz w:val="20"/>
          <w:szCs w:val="24"/>
        </w:rPr>
        <w:t xml:space="preserve"> funkcję członka zespołu badawczego, posiadając</w:t>
      </w:r>
      <w:r>
        <w:rPr>
          <w:rFonts w:ascii="Century Gothic" w:hAnsi="Century Gothic"/>
          <w:bCs/>
          <w:sz w:val="20"/>
          <w:szCs w:val="24"/>
        </w:rPr>
        <w:t>ej</w:t>
      </w:r>
      <w:r w:rsidRPr="00326F46">
        <w:rPr>
          <w:rFonts w:ascii="Century Gothic" w:hAnsi="Century Gothic"/>
          <w:bCs/>
          <w:sz w:val="20"/>
          <w:szCs w:val="24"/>
        </w:rPr>
        <w:t xml:space="preserve"> wykształcenie wyższe prawnicze z doświadczeniem w realizacji co najmniej 2 badań ewaluacyjnych lub/i analiz lub/i ekspertyz (z wyłączeniem usług </w:t>
      </w:r>
      <w:proofErr w:type="spellStart"/>
      <w:r w:rsidRPr="00326F46">
        <w:rPr>
          <w:rFonts w:ascii="Century Gothic" w:hAnsi="Century Gothic"/>
          <w:bCs/>
          <w:sz w:val="20"/>
          <w:szCs w:val="24"/>
        </w:rPr>
        <w:t>audytowych</w:t>
      </w:r>
      <w:proofErr w:type="spellEnd"/>
      <w:r w:rsidRPr="00326F46">
        <w:rPr>
          <w:rFonts w:ascii="Century Gothic" w:hAnsi="Century Gothic"/>
          <w:bCs/>
          <w:sz w:val="20"/>
          <w:szCs w:val="24"/>
        </w:rPr>
        <w:t>), w ramach których dokonano badań przy użyciu indywidualnych wywiadów pogłębionych IDI (osoba była bezpośrednio odpowiedzialna</w:t>
      </w:r>
      <w:r>
        <w:rPr>
          <w:rFonts w:ascii="Century Gothic" w:hAnsi="Century Gothic"/>
          <w:bCs/>
          <w:sz w:val="20"/>
          <w:szCs w:val="24"/>
        </w:rPr>
        <w:t xml:space="preserve"> za przeprowadzenia ww. analiz) oraz</w:t>
      </w:r>
    </w:p>
    <w:p w:rsidR="00857577" w:rsidRPr="00326F46" w:rsidRDefault="00857577" w:rsidP="00F65513">
      <w:pPr>
        <w:pStyle w:val="Tekstpodstawowy21"/>
        <w:spacing w:line="276" w:lineRule="auto"/>
        <w:jc w:val="both"/>
        <w:rPr>
          <w:rFonts w:ascii="Century Gothic" w:hAnsi="Century Gothic"/>
          <w:bCs/>
          <w:sz w:val="20"/>
          <w:szCs w:val="24"/>
        </w:rPr>
      </w:pPr>
      <w:r w:rsidRPr="00326F46">
        <w:rPr>
          <w:rFonts w:ascii="Century Gothic" w:hAnsi="Century Gothic"/>
          <w:bCs/>
          <w:sz w:val="20"/>
          <w:szCs w:val="24"/>
        </w:rPr>
        <w:t>-</w:t>
      </w:r>
      <w:r w:rsidRPr="00326F46">
        <w:rPr>
          <w:rFonts w:ascii="Century Gothic" w:hAnsi="Century Gothic"/>
          <w:bCs/>
          <w:sz w:val="20"/>
          <w:szCs w:val="24"/>
        </w:rPr>
        <w:tab/>
        <w:t>1 osob</w:t>
      </w:r>
      <w:r>
        <w:rPr>
          <w:rFonts w:ascii="Century Gothic" w:hAnsi="Century Gothic"/>
          <w:bCs/>
          <w:sz w:val="20"/>
          <w:szCs w:val="24"/>
        </w:rPr>
        <w:t>y</w:t>
      </w:r>
      <w:r w:rsidRPr="00326F46">
        <w:rPr>
          <w:rFonts w:ascii="Century Gothic" w:hAnsi="Century Gothic"/>
          <w:bCs/>
          <w:sz w:val="20"/>
          <w:szCs w:val="24"/>
        </w:rPr>
        <w:t xml:space="preserve"> pełniąc</w:t>
      </w:r>
      <w:r>
        <w:rPr>
          <w:rFonts w:ascii="Century Gothic" w:hAnsi="Century Gothic"/>
          <w:bCs/>
          <w:sz w:val="20"/>
          <w:szCs w:val="24"/>
        </w:rPr>
        <w:t>ej</w:t>
      </w:r>
      <w:r w:rsidRPr="00326F46">
        <w:rPr>
          <w:rFonts w:ascii="Century Gothic" w:hAnsi="Century Gothic"/>
          <w:bCs/>
          <w:sz w:val="20"/>
          <w:szCs w:val="24"/>
        </w:rPr>
        <w:t xml:space="preserve"> funkcję członka zespołu badawczego, posiadająca wykształcenie wyższe prawnicze z doświadczeniem w realizacji co najmniej 2 badań ewaluacyjnych lub/i analiz lub/i ekspertyz (z wyłączeniem usług </w:t>
      </w:r>
      <w:proofErr w:type="spellStart"/>
      <w:r w:rsidRPr="00326F46">
        <w:rPr>
          <w:rFonts w:ascii="Century Gothic" w:hAnsi="Century Gothic"/>
          <w:bCs/>
          <w:sz w:val="20"/>
          <w:szCs w:val="24"/>
        </w:rPr>
        <w:t>audytowych</w:t>
      </w:r>
      <w:proofErr w:type="spellEnd"/>
      <w:r w:rsidRPr="00326F46">
        <w:rPr>
          <w:rFonts w:ascii="Century Gothic" w:hAnsi="Century Gothic"/>
          <w:bCs/>
          <w:sz w:val="20"/>
          <w:szCs w:val="24"/>
        </w:rPr>
        <w:t>) w ramach których dokonano badań przy użyciu indywidualnych wywiadów pogłębionych IDI (osoba była bezpośrednio odpowiedzialna za przeprowadzenia ww. analiz).</w:t>
      </w:r>
    </w:p>
    <w:p w:rsidR="00857577" w:rsidRPr="00326F46" w:rsidRDefault="00857577" w:rsidP="00F65513">
      <w:pPr>
        <w:pStyle w:val="Tekstpodstawowy21"/>
        <w:spacing w:line="276" w:lineRule="auto"/>
        <w:jc w:val="both"/>
        <w:rPr>
          <w:rFonts w:ascii="Century Gothic" w:hAnsi="Century Gothic"/>
          <w:bCs/>
          <w:sz w:val="20"/>
          <w:szCs w:val="24"/>
        </w:rPr>
      </w:pPr>
      <w:r w:rsidRPr="00326F46">
        <w:rPr>
          <w:rFonts w:ascii="Century Gothic" w:hAnsi="Century Gothic"/>
          <w:bCs/>
          <w:sz w:val="20"/>
          <w:szCs w:val="24"/>
        </w:rPr>
        <w:t>Powyższe warunki należy traktować łącznie.</w:t>
      </w:r>
    </w:p>
    <w:p w:rsidR="00857577" w:rsidRPr="00326F46" w:rsidRDefault="00857577" w:rsidP="00F65513">
      <w:pPr>
        <w:pStyle w:val="Tekstpodstawowy21"/>
        <w:spacing w:line="276" w:lineRule="auto"/>
        <w:jc w:val="both"/>
        <w:rPr>
          <w:rFonts w:ascii="Century Gothic" w:hAnsi="Century Gothic"/>
          <w:bCs/>
          <w:sz w:val="20"/>
          <w:szCs w:val="24"/>
        </w:rPr>
      </w:pPr>
      <w:r w:rsidRPr="00326F46">
        <w:rPr>
          <w:rFonts w:ascii="Century Gothic" w:hAnsi="Century Gothic"/>
          <w:bCs/>
          <w:sz w:val="20"/>
          <w:szCs w:val="24"/>
        </w:rPr>
        <w:tab/>
        <w:t>Ilekroć w niniejszym punkcie jest mowa o doświadczeniu poszczególnych osób, należy przez to rozumieć bycie autorem lub współautorem:</w:t>
      </w:r>
    </w:p>
    <w:p w:rsidR="00857577" w:rsidRPr="00326F46" w:rsidRDefault="00857577" w:rsidP="00F65513">
      <w:pPr>
        <w:pStyle w:val="Tekstpodstawowy21"/>
        <w:spacing w:line="276" w:lineRule="auto"/>
        <w:ind w:left="1416"/>
        <w:jc w:val="both"/>
        <w:rPr>
          <w:rFonts w:ascii="Century Gothic" w:hAnsi="Century Gothic"/>
          <w:bCs/>
          <w:sz w:val="20"/>
          <w:szCs w:val="24"/>
        </w:rPr>
      </w:pPr>
      <w:r w:rsidRPr="00326F46">
        <w:rPr>
          <w:rFonts w:ascii="Century Gothic" w:hAnsi="Century Gothic"/>
          <w:bCs/>
          <w:sz w:val="20"/>
          <w:szCs w:val="24"/>
        </w:rPr>
        <w:t>a)</w:t>
      </w:r>
      <w:r w:rsidRPr="00326F46">
        <w:rPr>
          <w:rFonts w:ascii="Century Gothic" w:hAnsi="Century Gothic"/>
          <w:bCs/>
          <w:sz w:val="20"/>
          <w:szCs w:val="24"/>
        </w:rPr>
        <w:tab/>
        <w:t xml:space="preserve"> raportu końcowego z badania ewaluacyjnego lub </w:t>
      </w:r>
    </w:p>
    <w:p w:rsidR="00857577" w:rsidRPr="00326F46" w:rsidRDefault="00857577" w:rsidP="00F65513">
      <w:pPr>
        <w:pStyle w:val="Tekstpodstawowy21"/>
        <w:spacing w:line="276" w:lineRule="auto"/>
        <w:ind w:left="1416"/>
        <w:jc w:val="both"/>
        <w:rPr>
          <w:rFonts w:ascii="Century Gothic" w:hAnsi="Century Gothic"/>
          <w:bCs/>
          <w:sz w:val="20"/>
          <w:szCs w:val="24"/>
        </w:rPr>
      </w:pPr>
      <w:r w:rsidRPr="00326F46">
        <w:rPr>
          <w:rFonts w:ascii="Century Gothic" w:hAnsi="Century Gothic"/>
          <w:bCs/>
          <w:sz w:val="20"/>
          <w:szCs w:val="24"/>
        </w:rPr>
        <w:t>b)</w:t>
      </w:r>
      <w:r w:rsidRPr="00326F46">
        <w:rPr>
          <w:rFonts w:ascii="Century Gothic" w:hAnsi="Century Gothic"/>
          <w:bCs/>
          <w:sz w:val="20"/>
          <w:szCs w:val="24"/>
        </w:rPr>
        <w:tab/>
        <w:t>analizy lub</w:t>
      </w:r>
    </w:p>
    <w:p w:rsidR="00857577" w:rsidRDefault="00857577" w:rsidP="00F65513">
      <w:pPr>
        <w:pStyle w:val="Tekstpodstawowy21"/>
        <w:spacing w:line="276" w:lineRule="auto"/>
        <w:ind w:left="1416"/>
        <w:jc w:val="both"/>
        <w:rPr>
          <w:rFonts w:ascii="Century Gothic" w:hAnsi="Century Gothic"/>
          <w:bCs/>
          <w:sz w:val="20"/>
          <w:szCs w:val="24"/>
        </w:rPr>
      </w:pPr>
      <w:r w:rsidRPr="00326F46">
        <w:rPr>
          <w:rFonts w:ascii="Century Gothic" w:hAnsi="Century Gothic"/>
          <w:bCs/>
          <w:sz w:val="20"/>
          <w:szCs w:val="24"/>
        </w:rPr>
        <w:t>c)</w:t>
      </w:r>
      <w:r w:rsidRPr="00326F46">
        <w:rPr>
          <w:rFonts w:ascii="Century Gothic" w:hAnsi="Century Gothic"/>
          <w:bCs/>
          <w:sz w:val="20"/>
          <w:szCs w:val="24"/>
        </w:rPr>
        <w:tab/>
        <w:t xml:space="preserve"> ekspertyzy w danej dziedzinie. </w:t>
      </w:r>
    </w:p>
    <w:p w:rsidR="00857577" w:rsidRDefault="00857577" w:rsidP="003A5950">
      <w:pPr>
        <w:pStyle w:val="Tekstpodstawowy21"/>
        <w:spacing w:line="276" w:lineRule="auto"/>
        <w:jc w:val="both"/>
        <w:rPr>
          <w:rFonts w:ascii="Century Gothic" w:hAnsi="Century Gothic"/>
          <w:bCs/>
          <w:sz w:val="20"/>
          <w:szCs w:val="24"/>
        </w:rPr>
      </w:pPr>
    </w:p>
    <w:p w:rsidR="00857577" w:rsidRPr="00B747D4" w:rsidRDefault="00857577"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 xml:space="preserve">środki finansowe na rachunku bankowym </w:t>
      </w:r>
      <w:r w:rsidRPr="00EA6EC2">
        <w:rPr>
          <w:rFonts w:ascii="Century Gothic" w:hAnsi="Century Gothic" w:cs="Century Gothic"/>
          <w:bCs/>
          <w:sz w:val="20"/>
          <w:szCs w:val="24"/>
        </w:rPr>
        <w:t>bądź w spółdzielczej kasie oszczędnościow</w:t>
      </w:r>
      <w:r w:rsidRPr="00EA6EC2">
        <w:rPr>
          <w:rFonts w:ascii="Century Gothic" w:hAnsi="Century Gothic"/>
          <w:bCs/>
          <w:sz w:val="20"/>
          <w:szCs w:val="24"/>
        </w:rPr>
        <w:t>o-kredytowej lub zdolność kredytową w wysokości, co najmniej 100 000 zł (sto tysięcy złotych).</w:t>
      </w:r>
      <w:r>
        <w:rPr>
          <w:rFonts w:ascii="Century Gothic" w:hAnsi="Century Gothic"/>
          <w:bCs/>
          <w:sz w:val="20"/>
          <w:szCs w:val="24"/>
        </w:rPr>
        <w:t xml:space="preserve"> </w:t>
      </w:r>
    </w:p>
    <w:p w:rsidR="00857577" w:rsidRPr="00B747D4" w:rsidRDefault="00857577"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857577" w:rsidRPr="00B747D4" w:rsidRDefault="00857577" w:rsidP="003A5950">
      <w:pPr>
        <w:pStyle w:val="Tekstpodstawowy21"/>
        <w:tabs>
          <w:tab w:val="left" w:pos="426"/>
        </w:tabs>
        <w:spacing w:line="276" w:lineRule="auto"/>
        <w:jc w:val="both"/>
        <w:rPr>
          <w:rFonts w:ascii="Century Gothic" w:hAnsi="Century Gothic"/>
          <w:sz w:val="20"/>
          <w:szCs w:val="24"/>
        </w:rPr>
      </w:pPr>
    </w:p>
    <w:p w:rsidR="00857577" w:rsidRPr="00B747D4" w:rsidRDefault="00857577"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857577" w:rsidRPr="00B747D4" w:rsidRDefault="00857577"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857577" w:rsidRPr="00B747D4" w:rsidRDefault="00857577"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857577" w:rsidRPr="00B747D4" w:rsidRDefault="00857577"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857577" w:rsidRPr="00B747D4" w:rsidRDefault="00857577"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857577" w:rsidRPr="00B747D4" w:rsidRDefault="00857577"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857577" w:rsidRPr="00B747D4" w:rsidRDefault="00857577"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w:t>
      </w:r>
      <w:r w:rsidRPr="00B747D4">
        <w:rPr>
          <w:rFonts w:ascii="Century Gothic" w:hAnsi="Century Gothic"/>
          <w:bCs/>
          <w:sz w:val="20"/>
        </w:rPr>
        <w:lastRenderedPageBreak/>
        <w:t xml:space="preserve">organu - wystawione nie wcześniej niż 3 miesiące przed upływem terminu składania ofert; </w:t>
      </w:r>
    </w:p>
    <w:p w:rsidR="00857577" w:rsidRPr="00B747D4" w:rsidRDefault="00857577"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857577" w:rsidRPr="00B747D4" w:rsidRDefault="00857577"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857577" w:rsidRPr="00B747D4" w:rsidRDefault="00857577"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857577" w:rsidRPr="00B747D4" w:rsidRDefault="00857577"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857577" w:rsidRPr="00B747D4" w:rsidRDefault="00857577"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857577" w:rsidRPr="00B747D4" w:rsidRDefault="00857577"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857577" w:rsidRPr="00B747D4" w:rsidRDefault="00857577"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wykaz wykonanych, a w przypadku świadczeń okresowych lub ciągłych również wykonywanych, głównych dostaw</w:t>
      </w:r>
      <w:r>
        <w:rPr>
          <w:rFonts w:ascii="Century Gothic" w:hAnsi="Century Gothic"/>
        </w:rPr>
        <w:t xml:space="preserve"> lub usług</w:t>
      </w:r>
      <w:r w:rsidRPr="00B747D4">
        <w:rPr>
          <w:rFonts w:ascii="Century Gothic" w:hAnsi="Century Gothic"/>
        </w:rPr>
        <w:t xml:space="preserve">,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857577" w:rsidRPr="00B747D4" w:rsidRDefault="00857577" w:rsidP="003A5950">
      <w:pPr>
        <w:ind w:firstLine="708"/>
        <w:rPr>
          <w:rFonts w:ascii="Century Gothic" w:hAnsi="Century Gothic"/>
          <w:sz w:val="20"/>
        </w:rPr>
      </w:pPr>
      <w:r w:rsidRPr="00B747D4">
        <w:rPr>
          <w:rFonts w:ascii="Century Gothic" w:hAnsi="Century Gothic"/>
          <w:sz w:val="20"/>
        </w:rPr>
        <w:t>Dowodami, o których mowa powyżej, są:</w:t>
      </w:r>
    </w:p>
    <w:p w:rsidR="00857577" w:rsidRPr="00B747D4" w:rsidRDefault="00857577"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857577" w:rsidRPr="00B747D4" w:rsidRDefault="00857577"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857577" w:rsidRPr="00EA6EC2" w:rsidRDefault="00857577" w:rsidP="00326F46">
      <w:pPr>
        <w:pStyle w:val="Tekstpodstawowy2"/>
        <w:numPr>
          <w:ilvl w:val="0"/>
          <w:numId w:val="3"/>
        </w:numPr>
        <w:tabs>
          <w:tab w:val="left" w:pos="426"/>
        </w:tabs>
        <w:spacing w:line="276" w:lineRule="auto"/>
        <w:jc w:val="both"/>
        <w:rPr>
          <w:rFonts w:ascii="Century Gothic" w:hAnsi="Century Gothic"/>
          <w:u w:val="single"/>
        </w:rPr>
      </w:pPr>
      <w:r w:rsidRPr="00326F46">
        <w:rPr>
          <w:rFonts w:ascii="Century Gothic" w:hAnsi="Century Gothic"/>
        </w:rPr>
        <w:t>wykaz osób, które będą uczestniczyć w wykonywaniu zamówienia, wraz z informacjami na temat ich doświadczenia (</w:t>
      </w:r>
      <w:r>
        <w:rPr>
          <w:rFonts w:ascii="Century Gothic" w:hAnsi="Century Gothic"/>
        </w:rPr>
        <w:t>należy wskazać</w:t>
      </w:r>
      <w:r w:rsidRPr="00326F46">
        <w:rPr>
          <w:rFonts w:ascii="Century Gothic" w:hAnsi="Century Gothic"/>
        </w:rPr>
        <w:t xml:space="preserve"> dokładny opis zakresu przeprowadzonych przez </w:t>
      </w:r>
      <w:r>
        <w:rPr>
          <w:rFonts w:ascii="Century Gothic" w:hAnsi="Century Gothic"/>
        </w:rPr>
        <w:t>każdą z  osób</w:t>
      </w:r>
      <w:r w:rsidRPr="00326F46">
        <w:rPr>
          <w:rFonts w:ascii="Century Gothic" w:hAnsi="Century Gothic"/>
        </w:rPr>
        <w:t xml:space="preserve"> analiz w ramach badań ewaluacyjnych/analizy/ekspertyzy (z wyłączeniem usług </w:t>
      </w:r>
      <w:proofErr w:type="spellStart"/>
      <w:r w:rsidRPr="00326F46">
        <w:rPr>
          <w:rFonts w:ascii="Century Gothic" w:hAnsi="Century Gothic"/>
        </w:rPr>
        <w:t>audytowych</w:t>
      </w:r>
      <w:proofErr w:type="spellEnd"/>
      <w:r w:rsidRPr="00326F46">
        <w:rPr>
          <w:rFonts w:ascii="Century Gothic" w:hAnsi="Century Gothic"/>
        </w:rPr>
        <w:t xml:space="preserve">) z podaniem dokładnej liczby wykonanych indywidualnych wywiadów pogłębionych IDI w każdym z badań) i wykształcenia niezbędnych dla wykonania zamówienia (w tym podaniem stopnia naukowego), a także zakresu wykonywanych przez nie czynności oraz informacją o podstawie do dysponowania tymi osobami (wzór wykazu stanowi załącznik nr </w:t>
      </w:r>
      <w:r>
        <w:rPr>
          <w:rFonts w:ascii="Century Gothic" w:hAnsi="Century Gothic"/>
        </w:rPr>
        <w:t>7</w:t>
      </w:r>
      <w:r w:rsidRPr="00326F46">
        <w:rPr>
          <w:rFonts w:ascii="Century Gothic" w:hAnsi="Century Gothic"/>
        </w:rPr>
        <w:t xml:space="preserve"> do SIWZ)</w:t>
      </w:r>
      <w:r>
        <w:rPr>
          <w:rFonts w:ascii="Century Gothic" w:hAnsi="Century Gothic"/>
        </w:rPr>
        <w:t xml:space="preserve">. </w:t>
      </w:r>
      <w:r w:rsidRPr="00EA6EC2">
        <w:rPr>
          <w:rFonts w:ascii="Century Gothic" w:hAnsi="Century Gothic"/>
          <w:u w:val="single"/>
        </w:rPr>
        <w:t xml:space="preserve">Wszystkie osoby z wykazu musza bać udział w realizacji zamówienia. Zmiana osób jest dopuszczalna wyłącznie na warunkach przewidzianych w umowie z Wykonawcą. </w:t>
      </w:r>
    </w:p>
    <w:p w:rsidR="00857577" w:rsidRPr="00B747D4" w:rsidRDefault="00857577" w:rsidP="003A5950">
      <w:pPr>
        <w:pStyle w:val="Tekstpodstawowy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857577" w:rsidRPr="00B747D4" w:rsidRDefault="00857577" w:rsidP="003A5950">
      <w:pPr>
        <w:pStyle w:val="Tekstpodstawowy2"/>
        <w:tabs>
          <w:tab w:val="left" w:pos="426"/>
        </w:tabs>
        <w:spacing w:line="276" w:lineRule="auto"/>
        <w:ind w:left="720"/>
        <w:jc w:val="both"/>
        <w:rPr>
          <w:rFonts w:ascii="Century Gothic" w:hAnsi="Century Gothic"/>
        </w:rPr>
      </w:pPr>
    </w:p>
    <w:p w:rsidR="00857577" w:rsidRPr="00B747D4" w:rsidRDefault="00857577"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Wszelkie dokumenty sporządzone w języku obcym winny być złożone wraz z tłumaczeniem na język polski. Dokumenty należy złożyć w formie oryginału lub kopii </w:t>
      </w:r>
      <w:r w:rsidRPr="00B747D4">
        <w:rPr>
          <w:rFonts w:ascii="Century Gothic" w:hAnsi="Century Gothic"/>
        </w:rPr>
        <w:lastRenderedPageBreak/>
        <w:t>poświadczonej za zgodność z oryginałem przez wykonawcę (na każdej stronie zawierającej treść).</w:t>
      </w:r>
    </w:p>
    <w:p w:rsidR="00857577" w:rsidRPr="00B747D4" w:rsidRDefault="00857577"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857577" w:rsidRPr="00B747D4" w:rsidRDefault="00857577"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857577" w:rsidRPr="00B747D4" w:rsidRDefault="00857577"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857577" w:rsidRPr="00B747D4" w:rsidRDefault="00857577" w:rsidP="00EA6EC2">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57577" w:rsidRPr="00B747D4" w:rsidRDefault="00857577"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857577" w:rsidRPr="00B747D4" w:rsidRDefault="00857577"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857577" w:rsidRPr="00B747D4" w:rsidRDefault="00857577"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Dokumenty, o których mowa w pkt 4 lit. a) </w:t>
      </w:r>
      <w:proofErr w:type="spellStart"/>
      <w:r w:rsidRPr="00B747D4">
        <w:rPr>
          <w:rFonts w:ascii="Century Gothic" w:hAnsi="Century Gothic"/>
        </w:rPr>
        <w:t>tiret</w:t>
      </w:r>
      <w:proofErr w:type="spellEnd"/>
      <w:r w:rsidRPr="00B747D4">
        <w:rPr>
          <w:rFonts w:ascii="Century Gothic" w:hAnsi="Century Gothic"/>
        </w:rPr>
        <w:t xml:space="preserve"> pierwsze i trzecie oraz lit. b) powinny być wystawione nie wcześniej niż 6 miesięcy przed upływem terminu składania ofert. Dokumenty, o których mowa w pkt 4 lit. a) </w:t>
      </w:r>
      <w:proofErr w:type="spellStart"/>
      <w:r w:rsidRPr="00B747D4">
        <w:rPr>
          <w:rFonts w:ascii="Century Gothic" w:hAnsi="Century Gothic"/>
        </w:rPr>
        <w:t>tiret</w:t>
      </w:r>
      <w:proofErr w:type="spellEnd"/>
      <w:r w:rsidRPr="00B747D4">
        <w:rPr>
          <w:rFonts w:ascii="Century Gothic" w:hAnsi="Century Gothic"/>
        </w:rPr>
        <w:t xml:space="preserve"> drugie, powinny być wystawione nie wcześniej niż 3 miesiące przed upływem terminu składania ofert.</w:t>
      </w:r>
    </w:p>
    <w:p w:rsidR="00857577" w:rsidRPr="00B747D4" w:rsidRDefault="00857577"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857577" w:rsidRPr="00B747D4" w:rsidRDefault="00857577"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57577" w:rsidRPr="00B747D4" w:rsidRDefault="00857577"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857577" w:rsidRPr="00B747D4" w:rsidRDefault="00857577"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857577" w:rsidRPr="00B747D4" w:rsidRDefault="00857577"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w:t>
      </w:r>
      <w:r w:rsidRPr="00B747D4">
        <w:rPr>
          <w:rFonts w:ascii="Century Gothic" w:hAnsi="Century Gothic"/>
        </w:rPr>
        <w:lastRenderedPageBreak/>
        <w:t>przedstawiając w tym celu pisemne zobowiązanie tych podmiotów do oddania mu do dyspozycji niezbędnych zasobów na okres korzystania z nich przy wykonaniu zamówienia.</w:t>
      </w:r>
    </w:p>
    <w:p w:rsidR="00857577" w:rsidRPr="00B747D4" w:rsidRDefault="00857577" w:rsidP="003A5950">
      <w:pPr>
        <w:autoSpaceDE w:val="0"/>
        <w:ind w:left="1440" w:hanging="240"/>
        <w:rPr>
          <w:rFonts w:ascii="Century Gothic" w:hAnsi="Century Gothic"/>
          <w:sz w:val="20"/>
        </w:rPr>
      </w:pPr>
    </w:p>
    <w:p w:rsidR="00857577" w:rsidRPr="00B747D4" w:rsidRDefault="00857577"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857577" w:rsidRPr="00B747D4" w:rsidRDefault="00857577"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857577" w:rsidRPr="00B747D4" w:rsidRDefault="00857577"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857577" w:rsidRPr="00B747D4" w:rsidRDefault="00857577"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857577" w:rsidRPr="00B747D4" w:rsidRDefault="00857577"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9"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857577" w:rsidRPr="00B747D4" w:rsidRDefault="00857577" w:rsidP="003A5950">
      <w:pPr>
        <w:pStyle w:val="Tekstpodstawowy21"/>
        <w:tabs>
          <w:tab w:val="left" w:pos="1146"/>
        </w:tabs>
        <w:spacing w:line="276" w:lineRule="auto"/>
        <w:ind w:left="360"/>
        <w:jc w:val="both"/>
        <w:rPr>
          <w:rFonts w:ascii="Century Gothic" w:hAnsi="Century Gothic"/>
          <w:sz w:val="20"/>
          <w:szCs w:val="24"/>
        </w:rPr>
      </w:pPr>
    </w:p>
    <w:p w:rsidR="00857577" w:rsidRPr="00B747D4" w:rsidRDefault="00857577"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857577" w:rsidRPr="004C0297" w:rsidRDefault="00857577" w:rsidP="004C0297">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7 000 zł</w:t>
      </w:r>
      <w:r w:rsidRPr="00B747D4">
        <w:rPr>
          <w:rFonts w:ascii="Century Gothic" w:hAnsi="Century Gothic"/>
        </w:rPr>
        <w:t xml:space="preserve"> (</w:t>
      </w:r>
      <w:r>
        <w:rPr>
          <w:rFonts w:ascii="Century Gothic" w:hAnsi="Century Gothic"/>
        </w:rPr>
        <w:t xml:space="preserve">siedem tysięcy </w:t>
      </w:r>
      <w:r w:rsidRPr="00B747D4">
        <w:rPr>
          <w:rFonts w:ascii="Century Gothic" w:hAnsi="Century Gothic"/>
        </w:rPr>
        <w:t>złotych)</w:t>
      </w:r>
      <w:r w:rsidRPr="004C0297">
        <w:rPr>
          <w:rFonts w:ascii="Century Gothic" w:hAnsi="Century Gothic"/>
        </w:rPr>
        <w:t>.</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857577" w:rsidRPr="00B747D4" w:rsidRDefault="00857577"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857577" w:rsidRPr="00B747D4" w:rsidRDefault="00857577"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857577" w:rsidRPr="00B747D4" w:rsidRDefault="00857577"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857577" w:rsidRPr="00B747D4" w:rsidRDefault="00857577"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857577" w:rsidRPr="00B747D4" w:rsidRDefault="00857577"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poręczeniach udzielanych przez podmioty, o których mowa w art. 6b ust. 5 pkt 2 ustawy z dnia 9 listopada 2000 r. o utworzeniu Polskiej Agencji Rozwoju Przedsiębiorczości (</w:t>
      </w:r>
      <w:proofErr w:type="spellStart"/>
      <w:r w:rsidRPr="00B747D4">
        <w:rPr>
          <w:rFonts w:ascii="Century Gothic" w:hAnsi="Century Gothic"/>
        </w:rPr>
        <w:t>Dz.U</w:t>
      </w:r>
      <w:proofErr w:type="spellEnd"/>
      <w:r w:rsidRPr="00B747D4">
        <w:rPr>
          <w:rFonts w:ascii="Century Gothic" w:hAnsi="Century Gothic"/>
        </w:rPr>
        <w:t xml:space="preserve">. z 2007 r. Nr 42, poz. 275, z 2008 r. Nr 116, poz. 730 i 732 i Nr 227, poz. 1505 oraz z 2010 r. Nr 96, poz. 620). </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w:t>
      </w:r>
      <w:r w:rsidRPr="00B747D4">
        <w:rPr>
          <w:rFonts w:ascii="Century Gothic" w:hAnsi="Century Gothic"/>
        </w:rPr>
        <w:lastRenderedPageBreak/>
        <w:t xml:space="preserve">pomniejszone o koszty prowadzenia rachunku bankowego oraz prowizji bankowej za przelew pieniędzy na rachunek bankowy wskazany przez wykonawcę. </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857577" w:rsidRPr="00B747D4" w:rsidRDefault="00857577"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857577" w:rsidRPr="00B747D4" w:rsidRDefault="00857577"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857577" w:rsidRPr="00B747D4" w:rsidRDefault="00857577"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857577" w:rsidRPr="00B747D4" w:rsidRDefault="00857577"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857577" w:rsidRPr="00B747D4" w:rsidRDefault="00857577" w:rsidP="003A5950">
      <w:pPr>
        <w:pStyle w:val="Tekstpodstawowy21"/>
        <w:tabs>
          <w:tab w:val="left" w:pos="993"/>
        </w:tabs>
        <w:spacing w:line="276" w:lineRule="auto"/>
        <w:jc w:val="both"/>
        <w:rPr>
          <w:rFonts w:ascii="Century Gothic" w:hAnsi="Century Gothic"/>
          <w:b/>
          <w:bCs/>
          <w:sz w:val="20"/>
          <w:szCs w:val="24"/>
        </w:rPr>
      </w:pPr>
    </w:p>
    <w:p w:rsidR="00857577" w:rsidRPr="00B747D4" w:rsidRDefault="00857577"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857577" w:rsidRPr="00B747D4" w:rsidRDefault="00857577"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857577" w:rsidRPr="00B747D4" w:rsidRDefault="00857577"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857577" w:rsidRPr="00B747D4" w:rsidRDefault="00857577" w:rsidP="003A5950">
      <w:pPr>
        <w:pStyle w:val="Tekstpodstawowy21"/>
        <w:tabs>
          <w:tab w:val="left" w:pos="993"/>
        </w:tabs>
        <w:spacing w:line="276" w:lineRule="auto"/>
        <w:jc w:val="both"/>
        <w:rPr>
          <w:rFonts w:ascii="Century Gothic" w:hAnsi="Century Gothic"/>
          <w:sz w:val="20"/>
          <w:szCs w:val="24"/>
        </w:rPr>
      </w:pPr>
    </w:p>
    <w:p w:rsidR="00857577" w:rsidRPr="00B747D4" w:rsidRDefault="00857577"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857577" w:rsidRPr="00B747D4" w:rsidRDefault="00857577"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857577" w:rsidRPr="00B747D4" w:rsidRDefault="00857577"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857577" w:rsidRPr="00B747D4" w:rsidRDefault="00857577"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857577" w:rsidRPr="00B747D4" w:rsidRDefault="00857577"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857577" w:rsidRPr="00B747D4" w:rsidRDefault="00857577"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w:t>
      </w:r>
      <w:proofErr w:type="spellStart"/>
      <w:r w:rsidRPr="00B747D4">
        <w:rPr>
          <w:rFonts w:ascii="Century Gothic" w:hAnsi="Century Gothic"/>
          <w:sz w:val="20"/>
          <w:szCs w:val="24"/>
        </w:rPr>
        <w:t>ne</w:t>
      </w:r>
      <w:proofErr w:type="spellEnd"/>
      <w:r w:rsidRPr="00B747D4">
        <w:rPr>
          <w:rFonts w:ascii="Century Gothic" w:hAnsi="Century Gothic"/>
          <w:sz w:val="20"/>
          <w:szCs w:val="24"/>
        </w:rPr>
        <w:t>) do występowania w imieniu Wykonawcy (zgodnie z wyciągiem z właściwego rejestru).</w:t>
      </w:r>
    </w:p>
    <w:p w:rsidR="00857577" w:rsidRPr="00B747D4" w:rsidRDefault="00857577"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857577" w:rsidRPr="00B747D4" w:rsidRDefault="00857577"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857577" w:rsidRPr="00B747D4" w:rsidRDefault="00857577"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8. Wykonawca może złożyć tylko jedną ofertę. Złożenie większej liczby ofert lub złożenie </w:t>
      </w:r>
      <w:r w:rsidRPr="00B747D4">
        <w:rPr>
          <w:rFonts w:ascii="Century Gothic" w:hAnsi="Century Gothic"/>
          <w:sz w:val="20"/>
          <w:szCs w:val="24"/>
        </w:rPr>
        <w:lastRenderedPageBreak/>
        <w:t>oferty zawierającej propozycje alternatywne spowoduje odrzucenie wszystkich ofert złożonych przez Wykonawcę. Ofertę składa się pod rygorem nieważności w formie pisemnej.</w:t>
      </w:r>
    </w:p>
    <w:p w:rsidR="00857577" w:rsidRPr="00B747D4" w:rsidRDefault="00857577"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r>
        <w:rPr>
          <w:rFonts w:ascii="Century Gothic" w:hAnsi="Century Gothic"/>
          <w:sz w:val="20"/>
          <w:szCs w:val="24"/>
        </w:rPr>
        <w:t xml:space="preserve"> </w:t>
      </w:r>
      <w:r w:rsidRPr="00F83DB6">
        <w:rPr>
          <w:rFonts w:ascii="Century Gothic" w:hAnsi="Century Gothic"/>
          <w:sz w:val="20"/>
          <w:szCs w:val="24"/>
        </w:rPr>
        <w:t>Wykonawca, nie później niż w terminie składania ofert może zastrzec w ofercie (oświadczeniem zawartym w Formularzu Oferty), iż Zamawiający nie będzie mógł ujawnić określonych informacji stanowiących tajemnicę przedsiębiorstwa w rozumieniu przepisów o zwalczaniu nieuczciwej konkurencji. Zastrzeżenie jest skuteczne tylko w sytuacji gdy Wykonawca jednocześnie z ofertą wykaże, iż zastrzeżone informacje stanowią tajemnicę jego przedsiębiorstwa.</w:t>
      </w:r>
    </w:p>
    <w:p w:rsidR="00857577" w:rsidRPr="00B747D4" w:rsidRDefault="00857577"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857577" w:rsidRPr="00B747D4" w:rsidRDefault="00857577" w:rsidP="003A5950">
      <w:pPr>
        <w:pStyle w:val="Tekstpodstawowy21"/>
        <w:tabs>
          <w:tab w:val="left" w:pos="1287"/>
        </w:tabs>
        <w:spacing w:line="276" w:lineRule="auto"/>
        <w:ind w:left="360" w:hanging="360"/>
        <w:jc w:val="both"/>
        <w:rPr>
          <w:rFonts w:ascii="Century Gothic" w:hAnsi="Century Gothic"/>
          <w:sz w:val="20"/>
          <w:szCs w:val="24"/>
        </w:rPr>
      </w:pPr>
    </w:p>
    <w:p w:rsidR="00857577" w:rsidRPr="00B747D4" w:rsidRDefault="00857577" w:rsidP="003A5950">
      <w:pPr>
        <w:autoSpaceDE w:val="0"/>
        <w:jc w:val="center"/>
        <w:rPr>
          <w:rFonts w:ascii="Century Gothic" w:hAnsi="Century Gothic"/>
          <w:b/>
          <w:sz w:val="20"/>
        </w:rPr>
      </w:pPr>
      <w:r>
        <w:rPr>
          <w:rFonts w:ascii="Century Gothic" w:hAnsi="Century Gothic"/>
          <w:b/>
          <w:sz w:val="20"/>
        </w:rPr>
        <w:t>„</w:t>
      </w:r>
      <w:r w:rsidRPr="00B747D4">
        <w:rPr>
          <w:rFonts w:ascii="Century Gothic" w:hAnsi="Century Gothic"/>
          <w:b/>
          <w:sz w:val="20"/>
        </w:rPr>
        <w:t xml:space="preserve">Oferta </w:t>
      </w:r>
      <w:r w:rsidRPr="00BE2C46">
        <w:rPr>
          <w:rFonts w:ascii="Century Gothic" w:hAnsi="Century Gothic"/>
          <w:b/>
          <w:sz w:val="20"/>
        </w:rPr>
        <w:t>realizację ekspertyzy pn. „Model współpracy z przedsiębiorcami - na przykładzie województwa mazowieckiego</w:t>
      </w:r>
      <w:r w:rsidRPr="00B747D4">
        <w:rPr>
          <w:rFonts w:ascii="Century Gothic" w:hAnsi="Century Gothic"/>
          <w:b/>
          <w:sz w:val="20"/>
        </w:rPr>
        <w:t>”</w:t>
      </w:r>
    </w:p>
    <w:p w:rsidR="00857577" w:rsidRPr="00B747D4" w:rsidRDefault="00857577"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13 kwietnia  </w:t>
      </w:r>
      <w:r w:rsidRPr="00B747D4">
        <w:rPr>
          <w:rFonts w:ascii="Century Gothic" w:hAnsi="Century Gothic"/>
          <w:sz w:val="20"/>
        </w:rPr>
        <w:t>201</w:t>
      </w:r>
      <w:r>
        <w:rPr>
          <w:rFonts w:ascii="Century Gothic" w:hAnsi="Century Gothic"/>
          <w:sz w:val="20"/>
        </w:rPr>
        <w:t>5 r. do godz. 09.15</w:t>
      </w:r>
    </w:p>
    <w:p w:rsidR="00857577" w:rsidRPr="00B747D4" w:rsidRDefault="00857577"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857577" w:rsidRPr="00B747D4" w:rsidRDefault="00857577"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857577" w:rsidRPr="00B747D4" w:rsidRDefault="00857577"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13 kwietnia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13 kwietnia 2015 roku godz. 09.15</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zamówienia. </w:t>
      </w:r>
    </w:p>
    <w:p w:rsidR="00857577"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857577" w:rsidRPr="00B747D4" w:rsidRDefault="00857577" w:rsidP="003A5950">
      <w:pPr>
        <w:pStyle w:val="Tekstpodstawowy21"/>
        <w:tabs>
          <w:tab w:val="left" w:pos="993"/>
        </w:tabs>
        <w:spacing w:line="276" w:lineRule="auto"/>
        <w:jc w:val="both"/>
        <w:rPr>
          <w:rFonts w:ascii="Century Gothic" w:hAnsi="Century Gothic"/>
          <w:sz w:val="20"/>
          <w:szCs w:val="24"/>
        </w:rPr>
      </w:pPr>
    </w:p>
    <w:p w:rsidR="00857577" w:rsidRPr="00B747D4" w:rsidRDefault="00857577"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857577" w:rsidRPr="00B747D4" w:rsidRDefault="00857577" w:rsidP="003A5950">
      <w:pPr>
        <w:pStyle w:val="Tekstpodstawowy21"/>
        <w:tabs>
          <w:tab w:val="left" w:pos="360"/>
        </w:tabs>
        <w:spacing w:line="276" w:lineRule="auto"/>
        <w:jc w:val="both"/>
        <w:rPr>
          <w:rFonts w:ascii="Century Gothic" w:hAnsi="Century Gothic"/>
          <w:sz w:val="20"/>
          <w:szCs w:val="24"/>
        </w:rPr>
      </w:pPr>
    </w:p>
    <w:p w:rsidR="00857577" w:rsidRDefault="00857577"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857577" w:rsidRPr="00997F5F" w:rsidRDefault="00857577"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857577" w:rsidRDefault="00857577" w:rsidP="00BE2C46">
      <w:pPr>
        <w:pStyle w:val="Tekstpodstawowy21"/>
        <w:tabs>
          <w:tab w:val="left" w:pos="360"/>
        </w:tabs>
        <w:jc w:val="both"/>
        <w:rPr>
          <w:rFonts w:ascii="Century Gothic" w:hAnsi="Century Gothic"/>
          <w:b/>
          <w:sz w:val="20"/>
          <w:szCs w:val="24"/>
        </w:rPr>
      </w:pPr>
    </w:p>
    <w:p w:rsidR="00857577" w:rsidRPr="00230BE4" w:rsidRDefault="00857577" w:rsidP="00BE2C46">
      <w:pPr>
        <w:pStyle w:val="Tekstpodstawowy21"/>
        <w:tabs>
          <w:tab w:val="left" w:pos="360"/>
        </w:tabs>
        <w:jc w:val="both"/>
        <w:rPr>
          <w:rFonts w:ascii="Century Gothic" w:hAnsi="Century Gothic"/>
          <w:b/>
          <w:sz w:val="20"/>
          <w:szCs w:val="24"/>
        </w:rPr>
      </w:pPr>
      <w:r w:rsidRPr="00230BE4">
        <w:rPr>
          <w:rFonts w:ascii="Century Gothic" w:hAnsi="Century Gothic"/>
          <w:b/>
          <w:sz w:val="20"/>
          <w:szCs w:val="24"/>
        </w:rPr>
        <w:t xml:space="preserve">1. Cena  –  55 %,  </w:t>
      </w:r>
    </w:p>
    <w:p w:rsidR="00857577" w:rsidRDefault="00857577" w:rsidP="00BE2C46">
      <w:pPr>
        <w:pStyle w:val="Tekstpodstawowy21"/>
        <w:tabs>
          <w:tab w:val="left" w:pos="360"/>
        </w:tabs>
        <w:jc w:val="both"/>
        <w:rPr>
          <w:rFonts w:ascii="Century Gothic" w:hAnsi="Century Gothic"/>
          <w:sz w:val="20"/>
          <w:szCs w:val="24"/>
        </w:rPr>
      </w:pPr>
    </w:p>
    <w:p w:rsidR="00857577" w:rsidRPr="00BE2C46" w:rsidRDefault="00857577" w:rsidP="00BE2C46">
      <w:pPr>
        <w:pStyle w:val="Tekstpodstawowy21"/>
        <w:tabs>
          <w:tab w:val="left" w:pos="360"/>
        </w:tabs>
        <w:jc w:val="both"/>
        <w:rPr>
          <w:rFonts w:ascii="Century Gothic" w:hAnsi="Century Gothic"/>
          <w:sz w:val="20"/>
          <w:szCs w:val="24"/>
        </w:rPr>
      </w:pPr>
      <w:r w:rsidRPr="00BE2C46">
        <w:rPr>
          <w:rFonts w:ascii="Century Gothic" w:hAnsi="Century Gothic"/>
          <w:sz w:val="20"/>
          <w:szCs w:val="24"/>
        </w:rPr>
        <w:t>Punkty za cenę oblicza się przyjmując za podstawę najniższą zaof</w:t>
      </w:r>
      <w:r>
        <w:rPr>
          <w:rFonts w:ascii="Century Gothic" w:hAnsi="Century Gothic"/>
          <w:sz w:val="20"/>
          <w:szCs w:val="24"/>
        </w:rPr>
        <w:t>erowana kwotę, przypisując jej 55</w:t>
      </w:r>
      <w:r w:rsidRPr="00BE2C46">
        <w:rPr>
          <w:rFonts w:ascii="Century Gothic" w:hAnsi="Century Gothic"/>
          <w:sz w:val="20"/>
          <w:szCs w:val="24"/>
        </w:rPr>
        <w:t xml:space="preserve"> punktów.</w:t>
      </w:r>
    </w:p>
    <w:p w:rsidR="00857577" w:rsidRDefault="00857577" w:rsidP="00BE2C46">
      <w:pPr>
        <w:pStyle w:val="Tekstpodstawowy21"/>
        <w:tabs>
          <w:tab w:val="left" w:pos="360"/>
        </w:tabs>
        <w:spacing w:line="276" w:lineRule="auto"/>
        <w:jc w:val="both"/>
        <w:rPr>
          <w:rFonts w:ascii="Century Gothic" w:hAnsi="Century Gothic"/>
          <w:sz w:val="20"/>
          <w:szCs w:val="24"/>
        </w:rPr>
      </w:pPr>
      <w:r w:rsidRPr="00BE2C46">
        <w:rPr>
          <w:rFonts w:ascii="Century Gothic" w:hAnsi="Century Gothic"/>
          <w:sz w:val="20"/>
          <w:szCs w:val="24"/>
        </w:rPr>
        <w:t>Ilość punktów dla kolejnej oferty oblicza się w następujący sposób: (cena najniższej of</w:t>
      </w:r>
      <w:r>
        <w:rPr>
          <w:rFonts w:ascii="Century Gothic" w:hAnsi="Century Gothic"/>
          <w:sz w:val="20"/>
          <w:szCs w:val="24"/>
        </w:rPr>
        <w:t>erty / cena kolejnej oferty) x 55 = N punktów.</w:t>
      </w:r>
    </w:p>
    <w:p w:rsidR="00857577" w:rsidRDefault="00857577" w:rsidP="00BE2C46">
      <w:pPr>
        <w:pStyle w:val="Tekstpodstawowy21"/>
        <w:tabs>
          <w:tab w:val="left" w:pos="360"/>
        </w:tabs>
        <w:spacing w:line="276" w:lineRule="auto"/>
        <w:jc w:val="both"/>
        <w:rPr>
          <w:rFonts w:ascii="Century Gothic" w:hAnsi="Century Gothic"/>
          <w:sz w:val="20"/>
          <w:szCs w:val="24"/>
        </w:rPr>
      </w:pPr>
    </w:p>
    <w:p w:rsidR="00857577" w:rsidRPr="00230BE4" w:rsidRDefault="00857577" w:rsidP="00BE2C46">
      <w:pPr>
        <w:pStyle w:val="Tekstpodstawowy21"/>
        <w:tabs>
          <w:tab w:val="left" w:pos="360"/>
        </w:tabs>
        <w:spacing w:line="276" w:lineRule="auto"/>
        <w:jc w:val="both"/>
        <w:rPr>
          <w:rFonts w:ascii="Century Gothic" w:hAnsi="Century Gothic"/>
          <w:b/>
          <w:sz w:val="20"/>
          <w:szCs w:val="24"/>
        </w:rPr>
      </w:pPr>
      <w:r w:rsidRPr="00230BE4">
        <w:rPr>
          <w:rFonts w:ascii="Century Gothic" w:hAnsi="Century Gothic"/>
          <w:b/>
          <w:sz w:val="20"/>
          <w:szCs w:val="24"/>
        </w:rPr>
        <w:t xml:space="preserve">2. Podejście metodologiczne – 25% </w:t>
      </w:r>
    </w:p>
    <w:p w:rsidR="00857577" w:rsidRDefault="00857577" w:rsidP="00230BE4">
      <w:pPr>
        <w:pStyle w:val="Tekstpodstawowy21"/>
        <w:tabs>
          <w:tab w:val="left" w:pos="360"/>
        </w:tabs>
        <w:jc w:val="both"/>
        <w:rPr>
          <w:rFonts w:ascii="Century Gothic" w:hAnsi="Century Gothic"/>
          <w:sz w:val="20"/>
          <w:szCs w:val="24"/>
        </w:rPr>
      </w:pP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 xml:space="preserve">Punkty za kryterium „Podejście metodologiczne” zostaną przyznane w skali punktowej </w:t>
      </w:r>
      <w:r>
        <w:rPr>
          <w:rFonts w:ascii="Century Gothic" w:hAnsi="Century Gothic"/>
          <w:sz w:val="20"/>
          <w:szCs w:val="24"/>
        </w:rPr>
        <w:t xml:space="preserve">od 1 </w:t>
      </w:r>
      <w:r w:rsidRPr="00230BE4">
        <w:rPr>
          <w:rFonts w:ascii="Century Gothic" w:hAnsi="Century Gothic"/>
          <w:sz w:val="20"/>
          <w:szCs w:val="24"/>
        </w:rPr>
        <w:t xml:space="preserve">do 25 pkt. Pod uwagę będą brane następujące </w:t>
      </w:r>
      <w:proofErr w:type="spellStart"/>
      <w:r w:rsidRPr="00230BE4">
        <w:rPr>
          <w:rFonts w:ascii="Century Gothic" w:hAnsi="Century Gothic"/>
          <w:sz w:val="20"/>
          <w:szCs w:val="24"/>
        </w:rPr>
        <w:t>podkryteria</w:t>
      </w:r>
      <w:proofErr w:type="spellEnd"/>
      <w:r w:rsidRPr="00230BE4">
        <w:rPr>
          <w:rFonts w:ascii="Century Gothic" w:hAnsi="Century Gothic"/>
          <w:sz w:val="20"/>
          <w:szCs w:val="24"/>
        </w:rPr>
        <w:t>:</w:t>
      </w: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w:t>
      </w:r>
      <w:r w:rsidRPr="00230BE4">
        <w:rPr>
          <w:rFonts w:ascii="Century Gothic" w:hAnsi="Century Gothic"/>
          <w:sz w:val="20"/>
          <w:szCs w:val="24"/>
        </w:rPr>
        <w:tab/>
        <w:t>trafność ogólnej koncepcji badawczej w kontekście celów badania (w tym działania jakie zostaną podjęte na rzecz projektowania modelu współpracy z przedsiębiorcami) – do 5 pkt.</w:t>
      </w: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w:t>
      </w:r>
      <w:r w:rsidRPr="00230BE4">
        <w:rPr>
          <w:rFonts w:ascii="Century Gothic" w:hAnsi="Century Gothic"/>
          <w:sz w:val="20"/>
          <w:szCs w:val="24"/>
        </w:rPr>
        <w:tab/>
        <w:t xml:space="preserve">dodatkowe (względem przedstawionych w </w:t>
      </w:r>
      <w:r>
        <w:rPr>
          <w:rFonts w:ascii="Century Gothic" w:hAnsi="Century Gothic"/>
          <w:sz w:val="20"/>
          <w:szCs w:val="24"/>
        </w:rPr>
        <w:t>Załączniku nr 1</w:t>
      </w:r>
      <w:r w:rsidRPr="00230BE4">
        <w:rPr>
          <w:rFonts w:ascii="Century Gothic" w:hAnsi="Century Gothic"/>
          <w:sz w:val="20"/>
          <w:szCs w:val="24"/>
        </w:rPr>
        <w:t>) techniki zbierania i analizy danych, uzasadnione w kontekście celów badania – do 5 pkt.</w:t>
      </w: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Jeżeli Wykonawca badania zaproponuje więcej dodatkowych technik zbierania i analizy danych, ocenie będą podlegać jedynie dwie pierwsze zaproponowane techniki. Za każdą dodatkową technikę Wykonawca może zdobyć maksymalnie 2,5 pkt.</w:t>
      </w: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w:t>
      </w:r>
      <w:r w:rsidRPr="00230BE4">
        <w:rPr>
          <w:rFonts w:ascii="Century Gothic" w:hAnsi="Century Gothic"/>
          <w:sz w:val="20"/>
          <w:szCs w:val="24"/>
        </w:rPr>
        <w:tab/>
        <w:t>trafność doboru i liczebności respondentów w stosunku do realizacji celów badania i poszczególnych technik badawczych – do 5 pkt.</w:t>
      </w: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w:t>
      </w:r>
      <w:r w:rsidRPr="00230BE4">
        <w:rPr>
          <w:rFonts w:ascii="Century Gothic" w:hAnsi="Century Gothic"/>
          <w:sz w:val="20"/>
          <w:szCs w:val="24"/>
        </w:rPr>
        <w:tab/>
        <w:t>trafność zaproponowanego sposobu przeprowadzenia porównawczej analizy obu modeli współpracy z przedsiębiorcami (istniejącego i proponowanego) – do 5 pkt.</w:t>
      </w: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w:t>
      </w:r>
      <w:r w:rsidRPr="00230BE4">
        <w:rPr>
          <w:rFonts w:ascii="Century Gothic" w:hAnsi="Century Gothic"/>
          <w:sz w:val="20"/>
          <w:szCs w:val="24"/>
        </w:rPr>
        <w:tab/>
        <w:t>adekwatność dodatkowych pytań badawczych do celów badania – do 5 pkt.</w:t>
      </w:r>
    </w:p>
    <w:p w:rsidR="00857577" w:rsidRDefault="00857577" w:rsidP="00230BE4">
      <w:pPr>
        <w:pStyle w:val="Tekstpodstawowy21"/>
        <w:tabs>
          <w:tab w:val="left" w:pos="360"/>
        </w:tabs>
        <w:spacing w:line="276" w:lineRule="auto"/>
        <w:jc w:val="both"/>
        <w:rPr>
          <w:rFonts w:ascii="Century Gothic" w:hAnsi="Century Gothic"/>
          <w:sz w:val="20"/>
          <w:szCs w:val="24"/>
        </w:rPr>
      </w:pPr>
      <w:r w:rsidRPr="00230BE4">
        <w:rPr>
          <w:rFonts w:ascii="Century Gothic" w:hAnsi="Century Gothic"/>
          <w:sz w:val="20"/>
          <w:szCs w:val="24"/>
        </w:rPr>
        <w:t>Jeżeli Wykonawca badania zaproponuje więcej dodatkowych pytań, ocenie będzie podlegać jedynie pięć pierwszych pytań badawczych. Za każde oceniane pytanie Wykonawca może zdobyć maksymalnie 1 pkt. Ocenie będzie podlegać jego zasadność w stosunku do założonych celów badania i rozłączność stosunku do propozycji sformułowanych przez Zamawiającego.</w:t>
      </w:r>
    </w:p>
    <w:p w:rsidR="00857577" w:rsidRDefault="00857577" w:rsidP="00230BE4">
      <w:pPr>
        <w:pStyle w:val="Tekstpodstawowy21"/>
        <w:tabs>
          <w:tab w:val="left" w:pos="360"/>
        </w:tabs>
        <w:spacing w:line="276" w:lineRule="auto"/>
        <w:jc w:val="both"/>
        <w:rPr>
          <w:rFonts w:ascii="Century Gothic" w:hAnsi="Century Gothic"/>
          <w:sz w:val="20"/>
          <w:szCs w:val="24"/>
        </w:rPr>
      </w:pPr>
    </w:p>
    <w:p w:rsidR="00857577" w:rsidRPr="00230BE4" w:rsidRDefault="00857577" w:rsidP="00230BE4">
      <w:pPr>
        <w:pStyle w:val="Tekstpodstawowy21"/>
        <w:tabs>
          <w:tab w:val="left" w:pos="360"/>
        </w:tabs>
        <w:spacing w:line="276" w:lineRule="auto"/>
        <w:jc w:val="both"/>
        <w:rPr>
          <w:rFonts w:ascii="Century Gothic" w:hAnsi="Century Gothic"/>
          <w:b/>
          <w:sz w:val="20"/>
          <w:szCs w:val="24"/>
        </w:rPr>
      </w:pPr>
      <w:r w:rsidRPr="00230BE4">
        <w:rPr>
          <w:rFonts w:ascii="Century Gothic" w:hAnsi="Century Gothic"/>
          <w:b/>
          <w:sz w:val="20"/>
          <w:szCs w:val="24"/>
        </w:rPr>
        <w:t xml:space="preserve">3. Sposób organizacji badania – 20% </w:t>
      </w:r>
    </w:p>
    <w:p w:rsidR="00857577" w:rsidRDefault="00857577" w:rsidP="00230BE4">
      <w:pPr>
        <w:pStyle w:val="Tekstpodstawowy21"/>
        <w:tabs>
          <w:tab w:val="left" w:pos="360"/>
        </w:tabs>
        <w:spacing w:line="276" w:lineRule="auto"/>
        <w:jc w:val="both"/>
        <w:rPr>
          <w:rFonts w:ascii="Century Gothic" w:hAnsi="Century Gothic"/>
          <w:sz w:val="20"/>
          <w:szCs w:val="24"/>
        </w:rPr>
      </w:pP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 xml:space="preserve">Punkty za kryterium „sposób organizacji badania” zostaną przyznane w skali punktowej do 20 pkt. Pod uwagę będą brane następujące </w:t>
      </w:r>
      <w:proofErr w:type="spellStart"/>
      <w:r w:rsidRPr="00230BE4">
        <w:rPr>
          <w:rFonts w:ascii="Century Gothic" w:hAnsi="Century Gothic"/>
          <w:sz w:val="20"/>
          <w:szCs w:val="24"/>
        </w:rPr>
        <w:t>podkryteria</w:t>
      </w:r>
      <w:proofErr w:type="spellEnd"/>
      <w:r w:rsidRPr="00230BE4">
        <w:rPr>
          <w:rFonts w:ascii="Century Gothic" w:hAnsi="Century Gothic"/>
          <w:sz w:val="20"/>
          <w:szCs w:val="24"/>
        </w:rPr>
        <w:t>:</w:t>
      </w: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w:t>
      </w:r>
      <w:r w:rsidRPr="00230BE4">
        <w:rPr>
          <w:rFonts w:ascii="Century Gothic" w:hAnsi="Century Gothic"/>
          <w:sz w:val="20"/>
          <w:szCs w:val="24"/>
        </w:rPr>
        <w:tab/>
        <w:t>trafnie zidentyfikowane potencjalne obszary ryzyka, wraz ze wskazaniem środków/narzędzi ich minimalizacji – do 10 pkt.</w:t>
      </w:r>
    </w:p>
    <w:p w:rsidR="00857577" w:rsidRPr="00230BE4" w:rsidRDefault="00857577" w:rsidP="00230BE4">
      <w:pPr>
        <w:pStyle w:val="Tekstpodstawowy21"/>
        <w:tabs>
          <w:tab w:val="left" w:pos="360"/>
        </w:tabs>
        <w:jc w:val="both"/>
        <w:rPr>
          <w:rFonts w:ascii="Century Gothic" w:hAnsi="Century Gothic"/>
          <w:sz w:val="20"/>
          <w:szCs w:val="24"/>
        </w:rPr>
      </w:pPr>
      <w:r w:rsidRPr="00230BE4">
        <w:rPr>
          <w:rFonts w:ascii="Century Gothic" w:hAnsi="Century Gothic"/>
          <w:sz w:val="20"/>
          <w:szCs w:val="24"/>
        </w:rPr>
        <w:t>Ocenie będzie podlegać pierwszych 5 obszarów ryzyka zaproponowanych przez wykonawcę. Za każde dodatkowe ryzyko Wykonawca może zdobyć maksymalnie 2 pkt.</w:t>
      </w:r>
    </w:p>
    <w:p w:rsidR="00857577" w:rsidRDefault="00857577" w:rsidP="00230BE4">
      <w:pPr>
        <w:pStyle w:val="Tekstpodstawowy21"/>
        <w:tabs>
          <w:tab w:val="left" w:pos="360"/>
        </w:tabs>
        <w:spacing w:line="276" w:lineRule="auto"/>
        <w:jc w:val="both"/>
        <w:rPr>
          <w:rFonts w:ascii="Century Gothic" w:hAnsi="Century Gothic"/>
          <w:sz w:val="20"/>
          <w:szCs w:val="24"/>
        </w:rPr>
      </w:pPr>
      <w:r w:rsidRPr="00230BE4">
        <w:rPr>
          <w:rFonts w:ascii="Century Gothic" w:hAnsi="Century Gothic"/>
          <w:sz w:val="20"/>
          <w:szCs w:val="24"/>
        </w:rPr>
        <w:t>-</w:t>
      </w:r>
      <w:r w:rsidRPr="00230BE4">
        <w:rPr>
          <w:rFonts w:ascii="Century Gothic" w:hAnsi="Century Gothic"/>
          <w:sz w:val="20"/>
          <w:szCs w:val="24"/>
        </w:rPr>
        <w:tab/>
        <w:t>zaproponowany harmonogram badania (m.in. jego wykonalność i logika poszczególnych etapów względem siebie) - do 10 pkt.</w:t>
      </w:r>
    </w:p>
    <w:p w:rsidR="00857577" w:rsidRDefault="00857577" w:rsidP="00230BE4">
      <w:pPr>
        <w:pStyle w:val="Tekstpodstawowy21"/>
        <w:tabs>
          <w:tab w:val="left" w:pos="360"/>
        </w:tabs>
        <w:spacing w:line="276" w:lineRule="auto"/>
        <w:jc w:val="both"/>
        <w:rPr>
          <w:rFonts w:ascii="Century Gothic" w:hAnsi="Century Gothic"/>
          <w:sz w:val="20"/>
          <w:szCs w:val="24"/>
        </w:rPr>
      </w:pPr>
    </w:p>
    <w:p w:rsidR="00857577" w:rsidRPr="00230BE4" w:rsidRDefault="00857577" w:rsidP="00230BE4">
      <w:pPr>
        <w:pStyle w:val="Tekstpodstawowy21"/>
        <w:tabs>
          <w:tab w:val="left" w:pos="360"/>
        </w:tabs>
        <w:spacing w:line="276" w:lineRule="auto"/>
        <w:jc w:val="both"/>
        <w:rPr>
          <w:rFonts w:ascii="Century Gothic" w:hAnsi="Century Gothic"/>
          <w:b/>
          <w:sz w:val="20"/>
          <w:szCs w:val="24"/>
        </w:rPr>
      </w:pPr>
      <w:r w:rsidRPr="00230BE4">
        <w:rPr>
          <w:rFonts w:ascii="Century Gothic" w:hAnsi="Century Gothic"/>
          <w:b/>
          <w:sz w:val="20"/>
          <w:szCs w:val="24"/>
        </w:rPr>
        <w:t>Zamawiający udzieli zamówienia wykonawcy który uzyskał najwyższą ilość punktów po ich zsumowaniu w ramach ww. kryteriów oceny ofert.</w:t>
      </w:r>
    </w:p>
    <w:p w:rsidR="00857577" w:rsidRPr="00B747D4" w:rsidRDefault="00857577" w:rsidP="00230BE4">
      <w:pPr>
        <w:pStyle w:val="Tekstpodstawowy21"/>
        <w:tabs>
          <w:tab w:val="left" w:pos="360"/>
        </w:tabs>
        <w:spacing w:line="276" w:lineRule="auto"/>
        <w:jc w:val="both"/>
        <w:rPr>
          <w:rFonts w:ascii="Century Gothic" w:hAnsi="Century Gothic"/>
          <w:sz w:val="20"/>
          <w:szCs w:val="24"/>
        </w:rPr>
      </w:pPr>
    </w:p>
    <w:p w:rsidR="00857577" w:rsidRPr="00B747D4" w:rsidRDefault="00857577" w:rsidP="003A5950">
      <w:pPr>
        <w:pStyle w:val="Tekstpodstawowy21"/>
        <w:tabs>
          <w:tab w:val="left" w:pos="1620"/>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14.  INFORMACJE O FORMALNOŚCIACH, JAKIE POWINNY ZOSTAĆ DOPEŁNIONE PO WYBORZE OFERTY W CELU ZAWARCIA UMOWY W SPRAWIE ZAMÓWIENIA PUBLICZNEGO.</w:t>
      </w:r>
    </w:p>
    <w:p w:rsidR="00857577" w:rsidRPr="00B747D4" w:rsidRDefault="00857577" w:rsidP="003A5950">
      <w:pPr>
        <w:pStyle w:val="Tekstpodstawowy21"/>
        <w:tabs>
          <w:tab w:val="left" w:pos="1620"/>
        </w:tabs>
        <w:spacing w:line="276" w:lineRule="auto"/>
        <w:ind w:left="540" w:hanging="540"/>
        <w:jc w:val="both"/>
        <w:rPr>
          <w:rFonts w:ascii="Century Gothic" w:hAnsi="Century Gothic"/>
          <w:b/>
          <w:bCs/>
          <w:sz w:val="20"/>
          <w:szCs w:val="24"/>
        </w:rPr>
      </w:pPr>
    </w:p>
    <w:p w:rsidR="00857577" w:rsidRPr="00B747D4" w:rsidRDefault="00857577" w:rsidP="00C1362C">
      <w:pPr>
        <w:autoSpaceDE w:val="0"/>
        <w:spacing w:after="0"/>
        <w:ind w:left="357" w:hanging="357"/>
        <w:jc w:val="both"/>
        <w:rPr>
          <w:rFonts w:ascii="Century Gothic" w:hAnsi="Century Gothic"/>
          <w:bCs/>
          <w:sz w:val="20"/>
        </w:rPr>
      </w:pPr>
      <w:r w:rsidRPr="00B747D4">
        <w:rPr>
          <w:rFonts w:ascii="Century Gothic" w:hAnsi="Century Gothic"/>
          <w:bCs/>
          <w:sz w:val="20"/>
        </w:rPr>
        <w:lastRenderedPageBreak/>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857577" w:rsidRPr="00B747D4" w:rsidRDefault="00857577" w:rsidP="00C1362C">
      <w:pPr>
        <w:autoSpaceDE w:val="0"/>
        <w:spacing w:after="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857577" w:rsidRPr="00B747D4" w:rsidRDefault="00857577" w:rsidP="00C1362C">
      <w:pPr>
        <w:autoSpaceDE w:val="0"/>
        <w:spacing w:after="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857577" w:rsidRPr="00B747D4" w:rsidRDefault="00857577" w:rsidP="00C1362C">
      <w:pPr>
        <w:autoSpaceDE w:val="0"/>
        <w:spacing w:after="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857577" w:rsidRPr="00B747D4" w:rsidRDefault="00857577" w:rsidP="00C1362C">
      <w:pPr>
        <w:autoSpaceDE w:val="0"/>
        <w:spacing w:after="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857577" w:rsidRPr="00B747D4" w:rsidRDefault="00857577"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857577" w:rsidRPr="00B747D4" w:rsidRDefault="00857577"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857577" w:rsidRPr="00B747D4" w:rsidRDefault="00857577"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857577" w:rsidRPr="00B747D4" w:rsidRDefault="00857577"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857577" w:rsidRPr="00B747D4" w:rsidRDefault="00857577"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857577" w:rsidRPr="00B747D4" w:rsidRDefault="00857577"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857577" w:rsidRPr="00B747D4" w:rsidRDefault="00857577"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857577" w:rsidRPr="00B747D4" w:rsidRDefault="00857577"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857577" w:rsidRPr="00B747D4" w:rsidRDefault="00857577"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 xml:space="preserve">poręczenia udzielane przez podmioty, o których mowa w art. 6b ust. 5 pkt 2 ustawy z dnia 9 listopada 2000r. o utworzeniu Polskiej Agencji Rozwoju Przedsiębiorczości (Dz. U. z 2000 r., nr 109, poz. 1158 z </w:t>
      </w:r>
      <w:proofErr w:type="spellStart"/>
      <w:r w:rsidRPr="00B747D4">
        <w:rPr>
          <w:rFonts w:ascii="Century Gothic" w:hAnsi="Century Gothic"/>
        </w:rPr>
        <w:t>późn</w:t>
      </w:r>
      <w:proofErr w:type="spellEnd"/>
      <w:r w:rsidRPr="00B747D4">
        <w:rPr>
          <w:rFonts w:ascii="Century Gothic" w:hAnsi="Century Gothic"/>
        </w:rPr>
        <w:t>. zm.).</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857577" w:rsidRPr="00B747D4" w:rsidRDefault="00857577"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857577" w:rsidRPr="00B747D4" w:rsidRDefault="00857577" w:rsidP="003A5950">
      <w:pPr>
        <w:pStyle w:val="Tekstpodstawowy21"/>
        <w:tabs>
          <w:tab w:val="left" w:pos="2073"/>
        </w:tabs>
        <w:spacing w:line="276" w:lineRule="auto"/>
        <w:ind w:left="540" w:hanging="540"/>
        <w:jc w:val="both"/>
        <w:rPr>
          <w:rFonts w:ascii="Century Gothic" w:hAnsi="Century Gothic"/>
          <w:b/>
          <w:bCs/>
          <w:sz w:val="20"/>
          <w:szCs w:val="24"/>
        </w:rPr>
      </w:pPr>
    </w:p>
    <w:p w:rsidR="00857577" w:rsidRPr="00B747D4" w:rsidRDefault="00857577"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857577" w:rsidRPr="00B747D4" w:rsidRDefault="00857577"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w:t>
      </w:r>
      <w:r>
        <w:rPr>
          <w:rFonts w:ascii="Century Gothic" w:hAnsi="Century Gothic"/>
          <w:sz w:val="20"/>
          <w:szCs w:val="24"/>
        </w:rPr>
        <w:t xml:space="preserve"> umowy stanowiące załącznik nr 8</w:t>
      </w:r>
      <w:r w:rsidRPr="00B747D4">
        <w:rPr>
          <w:rFonts w:ascii="Century Gothic" w:hAnsi="Century Gothic"/>
          <w:sz w:val="20"/>
          <w:szCs w:val="24"/>
        </w:rPr>
        <w:t>.</w:t>
      </w:r>
    </w:p>
    <w:p w:rsidR="00857577" w:rsidRPr="00B747D4" w:rsidRDefault="00857577"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857577" w:rsidRPr="00B747D4" w:rsidRDefault="00857577"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w:t>
      </w:r>
      <w:bookmarkStart w:id="0" w:name="_GoBack"/>
      <w:bookmarkEnd w:id="0"/>
      <w:r w:rsidRPr="00B747D4">
        <w:rPr>
          <w:rFonts w:ascii="Century Gothic" w:hAnsi="Century Gothic"/>
          <w:sz w:val="20"/>
          <w:szCs w:val="24"/>
        </w:rPr>
        <w:t xml:space="preserve">ący dopuszcza możliwość zmian postanowień zawartej umowy w stosunku do treści oferty, na podstawie, której dokonano wyboru wykonawcy, niezależnie od postanowień w załączniku nr </w:t>
      </w:r>
      <w:r w:rsidR="00F74AFE">
        <w:rPr>
          <w:rFonts w:ascii="Century Gothic" w:hAnsi="Century Gothic"/>
          <w:sz w:val="20"/>
          <w:szCs w:val="24"/>
        </w:rPr>
        <w:t>8</w:t>
      </w:r>
      <w:r w:rsidRPr="00B747D4">
        <w:rPr>
          <w:rFonts w:ascii="Century Gothic" w:hAnsi="Century Gothic"/>
          <w:sz w:val="20"/>
          <w:szCs w:val="24"/>
        </w:rPr>
        <w:t xml:space="preserve"> do SIWZ, w następujących </w:t>
      </w:r>
      <w:r w:rsidRPr="00B747D4">
        <w:rPr>
          <w:rFonts w:ascii="Century Gothic" w:hAnsi="Century Gothic"/>
          <w:sz w:val="20"/>
          <w:szCs w:val="24"/>
        </w:rPr>
        <w:lastRenderedPageBreak/>
        <w:t>przypadkach:</w:t>
      </w:r>
    </w:p>
    <w:p w:rsidR="00857577" w:rsidRPr="00B747D4" w:rsidRDefault="00857577"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857577" w:rsidRPr="00B747D4" w:rsidRDefault="00857577"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857577" w:rsidRPr="00B747D4" w:rsidRDefault="00857577" w:rsidP="003A5950">
      <w:pPr>
        <w:pStyle w:val="Tekstpodstawowy21"/>
        <w:tabs>
          <w:tab w:val="left" w:pos="1713"/>
        </w:tabs>
        <w:spacing w:line="276" w:lineRule="auto"/>
        <w:ind w:left="360" w:hanging="360"/>
        <w:jc w:val="both"/>
        <w:rPr>
          <w:rFonts w:ascii="Century Gothic" w:hAnsi="Century Gothic"/>
          <w:sz w:val="20"/>
          <w:szCs w:val="24"/>
        </w:rPr>
      </w:pPr>
    </w:p>
    <w:p w:rsidR="00857577" w:rsidRPr="00B747D4" w:rsidRDefault="00857577"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857577" w:rsidRPr="00B747D4" w:rsidRDefault="00857577"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857577" w:rsidRPr="00B747D4" w:rsidRDefault="00857577" w:rsidP="003A5950">
      <w:pPr>
        <w:pStyle w:val="Tekstpodstawowy21"/>
        <w:tabs>
          <w:tab w:val="left" w:pos="993"/>
        </w:tabs>
        <w:spacing w:line="276" w:lineRule="auto"/>
        <w:jc w:val="both"/>
        <w:rPr>
          <w:rFonts w:ascii="Century Gothic" w:hAnsi="Century Gothic"/>
          <w:sz w:val="20"/>
          <w:szCs w:val="24"/>
        </w:rPr>
      </w:pPr>
    </w:p>
    <w:p w:rsidR="00857577" w:rsidRPr="00B747D4" w:rsidRDefault="00857577"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857577" w:rsidRPr="005660A1"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w:t>
      </w:r>
      <w:r>
        <w:rPr>
          <w:rFonts w:ascii="Century Gothic" w:hAnsi="Century Gothic"/>
          <w:sz w:val="20"/>
          <w:szCs w:val="24"/>
        </w:rPr>
        <w:t xml:space="preserve">nie </w:t>
      </w:r>
      <w:r w:rsidRPr="005660A1">
        <w:rPr>
          <w:rFonts w:ascii="Century Gothic" w:hAnsi="Century Gothic"/>
          <w:sz w:val="20"/>
          <w:szCs w:val="24"/>
        </w:rPr>
        <w:t>dopuszcza składani</w:t>
      </w:r>
      <w:r>
        <w:rPr>
          <w:rFonts w:ascii="Century Gothic" w:hAnsi="Century Gothic"/>
          <w:sz w:val="20"/>
          <w:szCs w:val="24"/>
        </w:rPr>
        <w:t>a ofert częściowych.</w:t>
      </w:r>
    </w:p>
    <w:p w:rsidR="00857577" w:rsidRPr="005660A1"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857577" w:rsidRPr="005660A1"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857577" w:rsidRPr="005660A1"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857577" w:rsidRPr="005660A1"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857577" w:rsidRPr="005660A1"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857577" w:rsidRPr="00B747D4"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857577" w:rsidRPr="00B747D4"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857577" w:rsidRPr="00B747D4" w:rsidRDefault="00857577"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857577" w:rsidRPr="00B747D4" w:rsidRDefault="00857577"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857577" w:rsidRPr="00B747D4" w:rsidRDefault="00857577"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857577" w:rsidRPr="00B747D4" w:rsidRDefault="00857577"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857577" w:rsidRPr="00B747D4"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Pr>
          <w:rFonts w:ascii="Century Gothic" w:hAnsi="Century Gothic"/>
          <w:sz w:val="20"/>
          <w:szCs w:val="24"/>
        </w:rPr>
        <w:t xml:space="preserve">1 </w:t>
      </w:r>
      <w:r w:rsidRPr="00B747D4">
        <w:rPr>
          <w:rFonts w:ascii="Century Gothic" w:hAnsi="Century Gothic"/>
          <w:sz w:val="20"/>
          <w:szCs w:val="24"/>
        </w:rPr>
        <w:t xml:space="preserve"> - Opis</w:t>
      </w:r>
      <w:r>
        <w:rPr>
          <w:rFonts w:ascii="Century Gothic" w:hAnsi="Century Gothic"/>
          <w:sz w:val="20"/>
          <w:szCs w:val="24"/>
        </w:rPr>
        <w:t xml:space="preserve"> Szczegółowy</w:t>
      </w:r>
    </w:p>
    <w:p w:rsidR="00857577" w:rsidRPr="00B747D4"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857577" w:rsidRPr="00B747D4"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857577" w:rsidRPr="00B747D4"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857577" w:rsidRPr="00B747D4"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857577"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 xml:space="preserve">Załącznik nr 6 - wykaz głównych </w:t>
      </w:r>
      <w:r>
        <w:rPr>
          <w:rFonts w:ascii="Century Gothic" w:hAnsi="Century Gothic"/>
          <w:sz w:val="20"/>
          <w:szCs w:val="24"/>
        </w:rPr>
        <w:t>usług</w:t>
      </w:r>
      <w:r w:rsidRPr="00B747D4">
        <w:rPr>
          <w:rFonts w:ascii="Century Gothic" w:hAnsi="Century Gothic"/>
          <w:sz w:val="20"/>
          <w:szCs w:val="24"/>
        </w:rPr>
        <w:t>;</w:t>
      </w:r>
    </w:p>
    <w:p w:rsidR="00857577" w:rsidRPr="00B747D4"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7  wykaz osób;</w:t>
      </w:r>
    </w:p>
    <w:p w:rsidR="00857577"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Pr>
          <w:rFonts w:ascii="Century Gothic" w:hAnsi="Century Gothic"/>
          <w:sz w:val="20"/>
          <w:szCs w:val="24"/>
        </w:rPr>
        <w:t>8 - istotne postanowienia umowy;</w:t>
      </w:r>
    </w:p>
    <w:p w:rsidR="00857577" w:rsidRPr="00B747D4" w:rsidRDefault="00857577"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fiszka projektowa. </w:t>
      </w:r>
    </w:p>
    <w:p w:rsidR="00857577" w:rsidRPr="00B747D4" w:rsidRDefault="00857577"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857577" w:rsidRPr="00B747D4" w:rsidRDefault="00857577"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857577" w:rsidRPr="00B747D4" w:rsidRDefault="00857577" w:rsidP="003A5950">
      <w:pPr>
        <w:rPr>
          <w:rFonts w:ascii="Century Gothic" w:hAnsi="Century Gothic"/>
          <w:sz w:val="18"/>
          <w:szCs w:val="20"/>
        </w:rPr>
      </w:pPr>
      <w:r w:rsidRPr="00B747D4">
        <w:rPr>
          <w:rFonts w:ascii="Century Gothic" w:hAnsi="Century Gothic"/>
          <w:sz w:val="18"/>
          <w:szCs w:val="20"/>
        </w:rPr>
        <w:t xml:space="preserve"> </w:t>
      </w:r>
    </w:p>
    <w:p w:rsidR="00857577" w:rsidRPr="00B747D4" w:rsidRDefault="00857577" w:rsidP="003A5950">
      <w:pPr>
        <w:rPr>
          <w:rFonts w:ascii="Century Gothic" w:hAnsi="Century Gothic"/>
        </w:rPr>
      </w:pPr>
    </w:p>
    <w:p w:rsidR="00857577" w:rsidRPr="00537A60" w:rsidRDefault="00857577" w:rsidP="00EE7D6B">
      <w:pPr>
        <w:jc w:val="both"/>
      </w:pPr>
    </w:p>
    <w:sectPr w:rsidR="00857577" w:rsidRPr="00537A60" w:rsidSect="00EF47CB">
      <w:headerReference w:type="default" r:id="rId10"/>
      <w:footerReference w:type="default" r:id="rId11"/>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C9" w:rsidRDefault="008133C9" w:rsidP="005313B3">
      <w:pPr>
        <w:spacing w:after="0" w:line="240" w:lineRule="auto"/>
      </w:pPr>
      <w:r>
        <w:separator/>
      </w:r>
    </w:p>
  </w:endnote>
  <w:endnote w:type="continuationSeparator" w:id="0">
    <w:p w:rsidR="008133C9" w:rsidRDefault="008133C9"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7" w:rsidRDefault="00857577" w:rsidP="001F5B9A">
    <w:pPr>
      <w:pStyle w:val="Stopka"/>
    </w:pPr>
  </w:p>
  <w:p w:rsidR="00857577" w:rsidRDefault="00857577" w:rsidP="001F5B9A">
    <w:pPr>
      <w:pStyle w:val="Stopka"/>
    </w:pPr>
  </w:p>
  <w:p w:rsidR="00857577" w:rsidRPr="001F5B9A" w:rsidRDefault="008133C9" w:rsidP="001F5B9A">
    <w:pPr>
      <w:pStyle w:val="Stopka"/>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7;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857577" w:rsidRPr="00CB30EC" w:rsidRDefault="00857577"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857577" w:rsidRPr="00CB30EC" w:rsidRDefault="00857577" w:rsidP="005E0840">
                <w:pPr>
                  <w:spacing w:before="20" w:after="100" w:afterAutospacing="1"/>
                  <w:contextualSpacing/>
                  <w:jc w:val="center"/>
                  <w:rPr>
                    <w:color w:val="808080"/>
                    <w:sz w:val="14"/>
                    <w:szCs w:val="14"/>
                  </w:rPr>
                </w:pPr>
                <w:r w:rsidRPr="00CB30EC">
                  <w:rPr>
                    <w:color w:val="808080"/>
                    <w:sz w:val="14"/>
                    <w:szCs w:val="14"/>
                  </w:rPr>
                  <w:t>www.zawodowemazowsze.pl</w:t>
                </w:r>
              </w:p>
              <w:p w:rsidR="00857577" w:rsidRPr="005E0840" w:rsidRDefault="00857577" w:rsidP="005E0840">
                <w:pPr>
                  <w:spacing w:before="20" w:after="100" w:afterAutospacing="1"/>
                  <w:contextualSpacing/>
                  <w:rPr>
                    <w:rFonts w:cs="Arial"/>
                    <w:b/>
                    <w:color w:val="595959"/>
                    <w:sz w:val="14"/>
                    <w:szCs w:val="14"/>
                  </w:rPr>
                </w:pPr>
              </w:p>
              <w:p w:rsidR="00857577" w:rsidRPr="005E0840" w:rsidRDefault="00857577"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36.95pt;height:60.85pt;z-index:3;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4I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" o:allowincell="f" filled="f" stroked="f">
          <v:textbox style="layout-flow:vertical;mso-layout-flow-alt:bottom-to-top;mso-fit-shape-to-text:t">
            <w:txbxContent>
              <w:p w:rsidR="00857577" w:rsidRPr="00E66253" w:rsidRDefault="00857577">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F74AFE">
                  <w:rPr>
                    <w:noProof/>
                    <w:color w:val="BFBFBF"/>
                    <w:sz w:val="18"/>
                    <w:szCs w:val="18"/>
                  </w:rPr>
                  <w:t>10</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F74AFE">
                  <w:rPr>
                    <w:noProof/>
                    <w:color w:val="BFBFBF"/>
                    <w:sz w:val="18"/>
                    <w:szCs w:val="18"/>
                  </w:rPr>
                  <w:t>12</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C9" w:rsidRDefault="008133C9" w:rsidP="005313B3">
      <w:pPr>
        <w:spacing w:after="0" w:line="240" w:lineRule="auto"/>
      </w:pPr>
      <w:r>
        <w:separator/>
      </w:r>
    </w:p>
  </w:footnote>
  <w:footnote w:type="continuationSeparator" w:id="0">
    <w:p w:rsidR="008133C9" w:rsidRDefault="008133C9"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7" w:rsidRDefault="008133C9">
    <w:pPr>
      <w:pStyle w:val="Nagwek"/>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6;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857577" w:rsidRPr="005E0840" w:rsidRDefault="00857577"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proofErr w:type="spellStart"/>
                <w:r>
                  <w:rPr>
                    <w:sz w:val="14"/>
                    <w:szCs w:val="14"/>
                    <w:lang w:val="en-US"/>
                  </w:rPr>
                  <w:t>Stawki</w:t>
                </w:r>
                <w:proofErr w:type="spellEnd"/>
                <w:r>
                  <w:rPr>
                    <w:sz w:val="14"/>
                    <w:szCs w:val="14"/>
                    <w:lang w:val="en-US"/>
                  </w:rPr>
                  <w:t xml:space="preserve"> 2, tel. 022 566 47 75,</w:t>
                </w:r>
                <w:r w:rsidRPr="005E0840">
                  <w:rPr>
                    <w:sz w:val="14"/>
                    <w:szCs w:val="14"/>
                    <w:lang w:val="en-US"/>
                  </w:rPr>
                  <w:t xml:space="preserve"> fax. 0 22 843 83 31, e-mail: zawodowemazowsze@armsa.pl</w:t>
                </w:r>
              </w:p>
              <w:p w:rsidR="00857577" w:rsidRPr="005E0840" w:rsidRDefault="00857577" w:rsidP="00315615">
                <w:pPr>
                  <w:spacing w:before="20" w:after="100" w:afterAutospacing="1"/>
                  <w:contextualSpacing/>
                  <w:rPr>
                    <w:rFonts w:cs="Arial"/>
                    <w:b/>
                    <w:color w:val="595959"/>
                    <w:sz w:val="14"/>
                    <w:szCs w:val="14"/>
                    <w:lang w:val="en-US"/>
                  </w:rPr>
                </w:pPr>
              </w:p>
              <w:p w:rsidR="00857577" w:rsidRPr="005E0840" w:rsidRDefault="00857577"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7"/>
    <o:shapelayout v:ext="edit">
      <o:idmap v:ext="edit" data="2"/>
      <o:rules v:ext="edit">
        <o:r id="V:Rule1" type="connector" idref="#AutoShape 3"/>
        <o:r id="V:Rule2" type="connector" idref="#_x0000_s2052"/>
        <o:r id="V:Rule3" type="connector" idref="#AutoShape 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75DF"/>
    <w:rsid w:val="0019762C"/>
    <w:rsid w:val="001D2180"/>
    <w:rsid w:val="001D4DED"/>
    <w:rsid w:val="001D5C07"/>
    <w:rsid w:val="001E0BF2"/>
    <w:rsid w:val="001E1D3C"/>
    <w:rsid w:val="001F5B9A"/>
    <w:rsid w:val="001F5E33"/>
    <w:rsid w:val="00201E28"/>
    <w:rsid w:val="002252A6"/>
    <w:rsid w:val="00230BE4"/>
    <w:rsid w:val="00241A2A"/>
    <w:rsid w:val="00243A3C"/>
    <w:rsid w:val="00246F70"/>
    <w:rsid w:val="0026107B"/>
    <w:rsid w:val="0026529E"/>
    <w:rsid w:val="00276996"/>
    <w:rsid w:val="00290956"/>
    <w:rsid w:val="002B14BD"/>
    <w:rsid w:val="002B6BFB"/>
    <w:rsid w:val="002C790E"/>
    <w:rsid w:val="002D0D12"/>
    <w:rsid w:val="002D3541"/>
    <w:rsid w:val="002E088B"/>
    <w:rsid w:val="002E692B"/>
    <w:rsid w:val="00315615"/>
    <w:rsid w:val="00316AD1"/>
    <w:rsid w:val="00326F46"/>
    <w:rsid w:val="003316C5"/>
    <w:rsid w:val="00340CEA"/>
    <w:rsid w:val="003555DF"/>
    <w:rsid w:val="0035735A"/>
    <w:rsid w:val="0036516F"/>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14E42"/>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50D7"/>
    <w:rsid w:val="00537A60"/>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0A5C"/>
    <w:rsid w:val="00615148"/>
    <w:rsid w:val="00634944"/>
    <w:rsid w:val="00660770"/>
    <w:rsid w:val="00660E4A"/>
    <w:rsid w:val="00666BA9"/>
    <w:rsid w:val="00673EA5"/>
    <w:rsid w:val="00677997"/>
    <w:rsid w:val="00684317"/>
    <w:rsid w:val="00686FFF"/>
    <w:rsid w:val="006979FD"/>
    <w:rsid w:val="00697BB1"/>
    <w:rsid w:val="006A521F"/>
    <w:rsid w:val="006B5C96"/>
    <w:rsid w:val="006C30C7"/>
    <w:rsid w:val="006D471E"/>
    <w:rsid w:val="006D683A"/>
    <w:rsid w:val="006E357D"/>
    <w:rsid w:val="006F094E"/>
    <w:rsid w:val="00713417"/>
    <w:rsid w:val="00722B2C"/>
    <w:rsid w:val="00735C90"/>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1088D"/>
    <w:rsid w:val="008133C9"/>
    <w:rsid w:val="00815DD1"/>
    <w:rsid w:val="00820119"/>
    <w:rsid w:val="008270A8"/>
    <w:rsid w:val="00835B22"/>
    <w:rsid w:val="00837895"/>
    <w:rsid w:val="00855830"/>
    <w:rsid w:val="00857577"/>
    <w:rsid w:val="00860038"/>
    <w:rsid w:val="008643CC"/>
    <w:rsid w:val="00887778"/>
    <w:rsid w:val="00890BC6"/>
    <w:rsid w:val="00892F1E"/>
    <w:rsid w:val="008A75DB"/>
    <w:rsid w:val="008B69C2"/>
    <w:rsid w:val="008E131B"/>
    <w:rsid w:val="008F47C8"/>
    <w:rsid w:val="0090242F"/>
    <w:rsid w:val="00903592"/>
    <w:rsid w:val="0092218A"/>
    <w:rsid w:val="00936740"/>
    <w:rsid w:val="00942D8B"/>
    <w:rsid w:val="009504DE"/>
    <w:rsid w:val="00962FB2"/>
    <w:rsid w:val="00965F47"/>
    <w:rsid w:val="00970D34"/>
    <w:rsid w:val="00980DE9"/>
    <w:rsid w:val="00997F5F"/>
    <w:rsid w:val="009B1394"/>
    <w:rsid w:val="009D434B"/>
    <w:rsid w:val="009D736E"/>
    <w:rsid w:val="009E2FEF"/>
    <w:rsid w:val="009E5C88"/>
    <w:rsid w:val="00A03CC0"/>
    <w:rsid w:val="00A13C87"/>
    <w:rsid w:val="00A22939"/>
    <w:rsid w:val="00A32976"/>
    <w:rsid w:val="00A34FF1"/>
    <w:rsid w:val="00A47BFD"/>
    <w:rsid w:val="00A501ED"/>
    <w:rsid w:val="00A6344B"/>
    <w:rsid w:val="00A732DB"/>
    <w:rsid w:val="00A772A8"/>
    <w:rsid w:val="00AA1642"/>
    <w:rsid w:val="00AA1AA2"/>
    <w:rsid w:val="00AA3D8F"/>
    <w:rsid w:val="00AA7FA3"/>
    <w:rsid w:val="00AB717E"/>
    <w:rsid w:val="00AD0314"/>
    <w:rsid w:val="00AD6B11"/>
    <w:rsid w:val="00AD7FA4"/>
    <w:rsid w:val="00B17E21"/>
    <w:rsid w:val="00B24997"/>
    <w:rsid w:val="00B37B6F"/>
    <w:rsid w:val="00B47C46"/>
    <w:rsid w:val="00B610CD"/>
    <w:rsid w:val="00B63B42"/>
    <w:rsid w:val="00B73B63"/>
    <w:rsid w:val="00B747D4"/>
    <w:rsid w:val="00B83625"/>
    <w:rsid w:val="00B91735"/>
    <w:rsid w:val="00BA0393"/>
    <w:rsid w:val="00BA1D66"/>
    <w:rsid w:val="00BA51A0"/>
    <w:rsid w:val="00BA585C"/>
    <w:rsid w:val="00BB3D9D"/>
    <w:rsid w:val="00BB651F"/>
    <w:rsid w:val="00BC2B98"/>
    <w:rsid w:val="00BC30C3"/>
    <w:rsid w:val="00BD24F6"/>
    <w:rsid w:val="00BD3ACF"/>
    <w:rsid w:val="00BE08E3"/>
    <w:rsid w:val="00BE2C46"/>
    <w:rsid w:val="00BE7B69"/>
    <w:rsid w:val="00BF1959"/>
    <w:rsid w:val="00BF5910"/>
    <w:rsid w:val="00C06808"/>
    <w:rsid w:val="00C068B3"/>
    <w:rsid w:val="00C112A9"/>
    <w:rsid w:val="00C1362C"/>
    <w:rsid w:val="00C15C11"/>
    <w:rsid w:val="00C427C7"/>
    <w:rsid w:val="00C5548F"/>
    <w:rsid w:val="00C6082B"/>
    <w:rsid w:val="00C90579"/>
    <w:rsid w:val="00CA3C2A"/>
    <w:rsid w:val="00CA3C7B"/>
    <w:rsid w:val="00CB0610"/>
    <w:rsid w:val="00CB30EC"/>
    <w:rsid w:val="00CC1497"/>
    <w:rsid w:val="00CC42E2"/>
    <w:rsid w:val="00CD3B7D"/>
    <w:rsid w:val="00CD6A88"/>
    <w:rsid w:val="00CE11ED"/>
    <w:rsid w:val="00CE5BAF"/>
    <w:rsid w:val="00CF7514"/>
    <w:rsid w:val="00D2647D"/>
    <w:rsid w:val="00D33AF2"/>
    <w:rsid w:val="00D712BE"/>
    <w:rsid w:val="00D72805"/>
    <w:rsid w:val="00D73DEE"/>
    <w:rsid w:val="00D76CB3"/>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6253"/>
    <w:rsid w:val="00E80618"/>
    <w:rsid w:val="00E90E20"/>
    <w:rsid w:val="00E94943"/>
    <w:rsid w:val="00EA0C5E"/>
    <w:rsid w:val="00EA6EC2"/>
    <w:rsid w:val="00EB1EEB"/>
    <w:rsid w:val="00EC044F"/>
    <w:rsid w:val="00EE5634"/>
    <w:rsid w:val="00EE7D6B"/>
    <w:rsid w:val="00EF47CB"/>
    <w:rsid w:val="00F0501E"/>
    <w:rsid w:val="00F103AD"/>
    <w:rsid w:val="00F13AD3"/>
    <w:rsid w:val="00F24411"/>
    <w:rsid w:val="00F26AD8"/>
    <w:rsid w:val="00F31F38"/>
    <w:rsid w:val="00F47DB2"/>
    <w:rsid w:val="00F5061F"/>
    <w:rsid w:val="00F50774"/>
    <w:rsid w:val="00F621D7"/>
    <w:rsid w:val="00F64BA8"/>
    <w:rsid w:val="00F65513"/>
    <w:rsid w:val="00F74AFE"/>
    <w:rsid w:val="00F816BC"/>
    <w:rsid w:val="00F83DB6"/>
    <w:rsid w:val="00F857C6"/>
    <w:rsid w:val="00F91334"/>
    <w:rsid w:val="00FA08ED"/>
    <w:rsid w:val="00FA2444"/>
    <w:rsid w:val="00FB0F95"/>
    <w:rsid w:val="00FC1DA6"/>
    <w:rsid w:val="00FE48CC"/>
    <w:rsid w:val="00FE52E1"/>
    <w:rsid w:val="00FE537B"/>
    <w:rsid w:val="00FE74F3"/>
    <w:rsid w:val="00FF39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sz w:val="22"/>
      <w:szCs w:val="22"/>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uiPriority w:val="99"/>
    <w:semiHidden/>
    <w:locked/>
    <w:rsid w:val="003B01F5"/>
    <w:rPr>
      <w:rFonts w:ascii="Cambria" w:hAnsi="Cambria" w:cs="Times New Roman"/>
      <w:b/>
      <w:bCs/>
      <w:i/>
      <w:iCs/>
      <w:sz w:val="28"/>
      <w:szCs w:val="28"/>
      <w:lang w:eastAsia="en-US"/>
    </w:rPr>
  </w:style>
  <w:style w:type="character" w:customStyle="1" w:styleId="Heading5Char">
    <w:name w:val="Heading 5 Char"/>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13B3"/>
    <w:rPr>
      <w:rFonts w:ascii="Tahoma" w:hAnsi="Tahoma" w:cs="Tahoma"/>
      <w:sz w:val="16"/>
      <w:szCs w:val="16"/>
    </w:rPr>
  </w:style>
  <w:style w:type="character" w:styleId="Hipercze">
    <w:name w:val="Hyperlink"/>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3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30;&#8230;@arm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4640</Words>
  <Characters>27842</Characters>
  <Application>Microsoft Office Word</Application>
  <DocSecurity>0</DocSecurity>
  <Lines>232</Lines>
  <Paragraphs>64</Paragraphs>
  <ScaleCrop>false</ScaleCrop>
  <Company/>
  <LinksUpToDate>false</LinksUpToDate>
  <CharactersWithSpaces>32418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tmajewski</cp:lastModifiedBy>
  <cp:revision>3</cp:revision>
  <cp:lastPrinted>2014-05-09T11:31:00Z</cp:lastPrinted>
  <dcterms:created xsi:type="dcterms:W3CDTF">2015-04-02T19:11:00Z</dcterms:created>
  <dcterms:modified xsi:type="dcterms:W3CDTF">2015-04-03T07:49:00Z</dcterms:modified>
</cp:coreProperties>
</file>